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232AA" w14:textId="38E7F408" w:rsidR="00171D36" w:rsidRPr="0026304A" w:rsidRDefault="00B7426D" w:rsidP="0026304A">
      <w:pPr>
        <w:tabs>
          <w:tab w:val="left" w:pos="6663"/>
        </w:tabs>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b/>
          <w:sz w:val="28"/>
          <w:szCs w:val="28"/>
        </w:rPr>
        <w:t xml:space="preserve">Ministru kabineta noteikumu projekta </w:t>
      </w:r>
      <w:r w:rsidRPr="0026304A">
        <w:rPr>
          <w:rFonts w:ascii="Times New Roman" w:hAnsi="Times New Roman" w:cs="Times New Roman"/>
          <w:b/>
          <w:sz w:val="28"/>
          <w:szCs w:val="28"/>
        </w:rPr>
        <w:t>“</w:t>
      </w:r>
      <w:r w:rsidR="0026304A" w:rsidRPr="0026304A">
        <w:rPr>
          <w:rFonts w:ascii="Times New Roman" w:hAnsi="Times New Roman" w:cs="Times New Roman"/>
          <w:b/>
          <w:bCs/>
          <w:sz w:val="28"/>
          <w:szCs w:val="28"/>
        </w:rPr>
        <w:t xml:space="preserve">Grozījumi Ministru kabineta 2012.gada 9.oktobra noteikumos Nr.694 </w:t>
      </w:r>
      <w:r w:rsidR="0026304A" w:rsidRPr="0026304A">
        <w:rPr>
          <w:rFonts w:ascii="Times New Roman" w:hAnsi="Times New Roman" w:cs="Times New Roman"/>
          <w:b/>
          <w:sz w:val="28"/>
          <w:szCs w:val="28"/>
        </w:rPr>
        <w:t>“</w:t>
      </w:r>
      <w:r w:rsidR="0026304A" w:rsidRPr="0026304A">
        <w:rPr>
          <w:rFonts w:ascii="Times New Roman" w:hAnsi="Times New Roman" w:cs="Times New Roman"/>
          <w:b/>
          <w:bCs/>
          <w:sz w:val="28"/>
          <w:szCs w:val="28"/>
        </w:rPr>
        <w:t>Eiropas Ekonomikas zonas finanšu instrumenta un Norvēģijas finanšu instrumenta 2009.–2014.gada perioda vadības noteikumi”</w:t>
      </w:r>
      <w:r w:rsidR="0026304A">
        <w:rPr>
          <w:rFonts w:ascii="Times New Roman" w:hAnsi="Times New Roman" w:cs="Times New Roman"/>
          <w:b/>
          <w:sz w:val="28"/>
          <w:szCs w:val="28"/>
        </w:rPr>
        <w:t xml:space="preserve"> </w:t>
      </w:r>
      <w:r w:rsidR="00B241FD" w:rsidRPr="00FA1208">
        <w:rPr>
          <w:rFonts w:ascii="Times New Roman" w:hAnsi="Times New Roman"/>
          <w:b/>
          <w:sz w:val="28"/>
          <w:szCs w:val="28"/>
        </w:rPr>
        <w:t>sākotnējās ietekmes novērtējuma ziņojums (anotācija)</w:t>
      </w:r>
    </w:p>
    <w:p w14:paraId="5EDF1D9D" w14:textId="77777777" w:rsidR="00184133" w:rsidRPr="00FA1208" w:rsidRDefault="00184133" w:rsidP="00171D36">
      <w:pPr>
        <w:pStyle w:val="naisf"/>
        <w:spacing w:before="0" w:beforeAutospacing="0" w:after="0" w:afterAutospacing="0"/>
        <w:jc w:val="right"/>
      </w:pP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3408"/>
        <w:gridCol w:w="5683"/>
      </w:tblGrid>
      <w:tr w:rsidR="00DA6C86" w:rsidRPr="00D748C7" w14:paraId="5EDF1D9F" w14:textId="77777777" w:rsidTr="00682E61">
        <w:trPr>
          <w:trHeight w:val="419"/>
        </w:trPr>
        <w:tc>
          <w:tcPr>
            <w:tcW w:w="5000" w:type="pct"/>
            <w:gridSpan w:val="3"/>
            <w:vAlign w:val="center"/>
          </w:tcPr>
          <w:p w14:paraId="5EDF1D9E" w14:textId="77777777" w:rsidR="00DA6C86" w:rsidRPr="00D748C7" w:rsidRDefault="00DA6C86" w:rsidP="00176CB2">
            <w:pPr>
              <w:pStyle w:val="naisnod"/>
              <w:spacing w:before="0" w:beforeAutospacing="0" w:after="0" w:afterAutospacing="0"/>
              <w:ind w:right="57"/>
              <w:jc w:val="center"/>
              <w:rPr>
                <w:b/>
                <w:sz w:val="26"/>
                <w:szCs w:val="26"/>
              </w:rPr>
            </w:pPr>
            <w:r w:rsidRPr="00D748C7">
              <w:rPr>
                <w:b/>
                <w:sz w:val="26"/>
                <w:szCs w:val="26"/>
              </w:rPr>
              <w:t>I. Tiesību akta projekta izstrādes nepieciešamība</w:t>
            </w:r>
          </w:p>
        </w:tc>
      </w:tr>
      <w:tr w:rsidR="00DA6C86" w:rsidRPr="00D748C7" w14:paraId="5EDF1DA3" w14:textId="77777777" w:rsidTr="00682E61">
        <w:trPr>
          <w:trHeight w:val="980"/>
        </w:trPr>
        <w:tc>
          <w:tcPr>
            <w:tcW w:w="222" w:type="pct"/>
          </w:tcPr>
          <w:p w14:paraId="5EDF1DA0" w14:textId="77777777" w:rsidR="00DA6C86" w:rsidRPr="00D748C7" w:rsidRDefault="00DA6C86" w:rsidP="00B50DCF">
            <w:pPr>
              <w:pStyle w:val="naiskr"/>
              <w:tabs>
                <w:tab w:val="left" w:pos="3686"/>
              </w:tabs>
              <w:spacing w:before="0" w:beforeAutospacing="0" w:after="0" w:afterAutospacing="0"/>
              <w:ind w:right="57"/>
              <w:jc w:val="center"/>
              <w:rPr>
                <w:sz w:val="26"/>
                <w:szCs w:val="26"/>
              </w:rPr>
            </w:pPr>
            <w:r w:rsidRPr="00D748C7">
              <w:rPr>
                <w:sz w:val="26"/>
                <w:szCs w:val="26"/>
              </w:rPr>
              <w:t>1.</w:t>
            </w:r>
          </w:p>
        </w:tc>
        <w:tc>
          <w:tcPr>
            <w:tcW w:w="1791" w:type="pct"/>
          </w:tcPr>
          <w:p w14:paraId="5EDF1DA1" w14:textId="1B6B9A4C" w:rsidR="00DD7205" w:rsidRPr="00D748C7" w:rsidRDefault="00DA6C86" w:rsidP="00B50DCF">
            <w:pPr>
              <w:pStyle w:val="naiskr"/>
              <w:tabs>
                <w:tab w:val="left" w:pos="3686"/>
              </w:tabs>
              <w:spacing w:before="0" w:beforeAutospacing="0" w:after="0" w:afterAutospacing="0"/>
              <w:ind w:left="57" w:right="57"/>
              <w:rPr>
                <w:sz w:val="26"/>
                <w:szCs w:val="26"/>
              </w:rPr>
            </w:pPr>
            <w:r w:rsidRPr="00D748C7">
              <w:rPr>
                <w:sz w:val="26"/>
                <w:szCs w:val="26"/>
              </w:rPr>
              <w:t>Pamatojums</w:t>
            </w:r>
          </w:p>
          <w:p w14:paraId="1914C571" w14:textId="77777777" w:rsidR="00DA6C86" w:rsidRPr="00D748C7" w:rsidRDefault="00DA6C86" w:rsidP="00B50DCF">
            <w:pPr>
              <w:tabs>
                <w:tab w:val="left" w:pos="3686"/>
              </w:tabs>
              <w:rPr>
                <w:sz w:val="26"/>
                <w:szCs w:val="26"/>
              </w:rPr>
            </w:pPr>
          </w:p>
        </w:tc>
        <w:tc>
          <w:tcPr>
            <w:tcW w:w="2987" w:type="pct"/>
          </w:tcPr>
          <w:p w14:paraId="5133EC4B" w14:textId="77777777" w:rsidR="001F4836" w:rsidRDefault="001F4836" w:rsidP="00B50DCF">
            <w:pPr>
              <w:tabs>
                <w:tab w:val="left" w:pos="3686"/>
              </w:tabs>
              <w:spacing w:after="0" w:line="240" w:lineRule="auto"/>
              <w:ind w:left="57" w:right="57"/>
              <w:jc w:val="both"/>
              <w:rPr>
                <w:rFonts w:ascii="Times New Roman" w:hAnsi="Times New Roman" w:cs="Times New Roman"/>
                <w:sz w:val="26"/>
                <w:szCs w:val="26"/>
              </w:rPr>
            </w:pPr>
          </w:p>
          <w:p w14:paraId="45899CF7" w14:textId="192517DD" w:rsidR="001F4836" w:rsidRDefault="001F4836" w:rsidP="00B50DCF">
            <w:pPr>
              <w:tabs>
                <w:tab w:val="left" w:pos="3686"/>
              </w:tabs>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Eiropas Ekonomikas zonas finanšu instrumenta un Norvēģijas finanšu instrumenta 2009.-2014.gada perioda vadības likuma 15.panta 1. un 2.punkts.</w:t>
            </w:r>
          </w:p>
          <w:p w14:paraId="5EDF1DA2" w14:textId="29821076" w:rsidR="001F4836" w:rsidRPr="00210AC4" w:rsidRDefault="001F4836" w:rsidP="00B50DCF">
            <w:pPr>
              <w:tabs>
                <w:tab w:val="left" w:pos="3686"/>
              </w:tabs>
              <w:rPr>
                <w:rFonts w:ascii="Times New Roman" w:hAnsi="Times New Roman" w:cs="Times New Roman"/>
                <w:sz w:val="26"/>
                <w:szCs w:val="26"/>
              </w:rPr>
            </w:pPr>
          </w:p>
        </w:tc>
      </w:tr>
      <w:tr w:rsidR="00DA6C86" w:rsidRPr="00D748C7" w14:paraId="5EDF1DA7" w14:textId="77777777" w:rsidTr="00682E61">
        <w:trPr>
          <w:trHeight w:val="472"/>
        </w:trPr>
        <w:tc>
          <w:tcPr>
            <w:tcW w:w="222" w:type="pct"/>
          </w:tcPr>
          <w:p w14:paraId="5EDF1DA4" w14:textId="7FFA3DCC" w:rsidR="00DA6C86" w:rsidRPr="00D748C7" w:rsidRDefault="00DA6C86" w:rsidP="00B50DCF">
            <w:pPr>
              <w:pStyle w:val="naiskr"/>
              <w:tabs>
                <w:tab w:val="left" w:pos="3686"/>
              </w:tabs>
              <w:spacing w:before="0" w:beforeAutospacing="0" w:after="0" w:afterAutospacing="0"/>
              <w:ind w:right="57"/>
              <w:jc w:val="center"/>
              <w:rPr>
                <w:sz w:val="26"/>
                <w:szCs w:val="26"/>
              </w:rPr>
            </w:pPr>
            <w:r w:rsidRPr="00D748C7">
              <w:rPr>
                <w:sz w:val="26"/>
                <w:szCs w:val="26"/>
              </w:rPr>
              <w:t>2.</w:t>
            </w:r>
          </w:p>
        </w:tc>
        <w:tc>
          <w:tcPr>
            <w:tcW w:w="1791" w:type="pct"/>
          </w:tcPr>
          <w:p w14:paraId="2F008769" w14:textId="31421509" w:rsidR="00DD7205" w:rsidRPr="00D748C7" w:rsidRDefault="00502937" w:rsidP="00B50DCF">
            <w:pPr>
              <w:pStyle w:val="naiskr"/>
              <w:tabs>
                <w:tab w:val="left" w:pos="170"/>
                <w:tab w:val="left" w:pos="3686"/>
              </w:tabs>
              <w:spacing w:before="0" w:beforeAutospacing="0" w:after="0" w:afterAutospacing="0"/>
              <w:ind w:left="57" w:right="57"/>
              <w:rPr>
                <w:sz w:val="26"/>
                <w:szCs w:val="26"/>
              </w:rPr>
            </w:pPr>
            <w:r w:rsidRPr="00D748C7">
              <w:rPr>
                <w:sz w:val="26"/>
                <w:szCs w:val="26"/>
              </w:rPr>
              <w:t>Pašreizējā situācija un problēmas, kuru risināšanai tiesību akta projekts izstrādāts, tiesiskā regulējuma mērķis un būtība</w:t>
            </w:r>
          </w:p>
          <w:p w14:paraId="58061920" w14:textId="77777777" w:rsidR="00DA6C86" w:rsidRPr="00D748C7" w:rsidRDefault="00DA6C86" w:rsidP="00B50DCF">
            <w:pPr>
              <w:tabs>
                <w:tab w:val="left" w:pos="3686"/>
              </w:tabs>
              <w:ind w:firstLine="720"/>
              <w:rPr>
                <w:sz w:val="26"/>
                <w:szCs w:val="26"/>
              </w:rPr>
            </w:pPr>
          </w:p>
        </w:tc>
        <w:tc>
          <w:tcPr>
            <w:tcW w:w="2987" w:type="pct"/>
          </w:tcPr>
          <w:p w14:paraId="7DCC6A55" w14:textId="0B920697" w:rsidR="00435F5D" w:rsidRPr="00CA4C41" w:rsidRDefault="00435F5D" w:rsidP="00453755">
            <w:pPr>
              <w:tabs>
                <w:tab w:val="left" w:pos="423"/>
                <w:tab w:val="left" w:pos="3686"/>
                <w:tab w:val="left" w:pos="6444"/>
              </w:tabs>
              <w:spacing w:after="0" w:line="240" w:lineRule="auto"/>
              <w:ind w:left="143" w:right="141"/>
              <w:jc w:val="both"/>
              <w:rPr>
                <w:rFonts w:ascii="Times New Roman" w:hAnsi="Times New Roman" w:cs="Times New Roman"/>
                <w:sz w:val="26"/>
                <w:szCs w:val="26"/>
              </w:rPr>
            </w:pPr>
            <w:r w:rsidRPr="003843F1">
              <w:rPr>
                <w:rFonts w:ascii="Times New Roman" w:hAnsi="Times New Roman" w:cs="Times New Roman"/>
                <w:sz w:val="26"/>
                <w:szCs w:val="26"/>
                <w:shd w:val="clear" w:color="auto" w:fill="FFFFFF"/>
              </w:rPr>
              <w:t xml:space="preserve">MK noteikumu projekta </w:t>
            </w:r>
            <w:r w:rsidRPr="003843F1">
              <w:rPr>
                <w:rFonts w:ascii="Times New Roman" w:hAnsi="Times New Roman" w:cs="Times New Roman"/>
                <w:sz w:val="26"/>
                <w:szCs w:val="26"/>
              </w:rPr>
              <w:t>“</w:t>
            </w:r>
            <w:r w:rsidRPr="003843F1">
              <w:rPr>
                <w:rFonts w:ascii="Times New Roman" w:hAnsi="Times New Roman" w:cs="Times New Roman"/>
                <w:bCs/>
                <w:sz w:val="26"/>
                <w:szCs w:val="26"/>
              </w:rPr>
              <w:t xml:space="preserve">Grozījumi Ministru kabineta 2012.gada 9.oktobra noteikumos Nr.694 </w:t>
            </w:r>
            <w:r w:rsidRPr="003843F1">
              <w:rPr>
                <w:rFonts w:ascii="Times New Roman" w:hAnsi="Times New Roman" w:cs="Times New Roman"/>
                <w:sz w:val="26"/>
                <w:szCs w:val="26"/>
              </w:rPr>
              <w:t>“</w:t>
            </w:r>
            <w:r w:rsidRPr="003843F1">
              <w:rPr>
                <w:rFonts w:ascii="Times New Roman" w:hAnsi="Times New Roman" w:cs="Times New Roman"/>
                <w:bCs/>
                <w:sz w:val="26"/>
                <w:szCs w:val="26"/>
              </w:rPr>
              <w:t xml:space="preserve">Eiropas Ekonomikas zonas finanšu instrumenta un Norvēģijas finanšu instrumenta 2009.–2014.gada perioda vadības noteikumi” (turpmāk – noteikumu projekts) </w:t>
            </w:r>
            <w:r>
              <w:rPr>
                <w:rFonts w:ascii="Times New Roman" w:hAnsi="Times New Roman" w:cs="Times New Roman"/>
                <w:bCs/>
                <w:sz w:val="26"/>
                <w:szCs w:val="26"/>
              </w:rPr>
              <w:t>mērķis ir noteikt termiņu un nosacīj</w:t>
            </w:r>
            <w:r w:rsidR="00257188">
              <w:rPr>
                <w:rFonts w:ascii="Times New Roman" w:hAnsi="Times New Roman" w:cs="Times New Roman"/>
                <w:bCs/>
                <w:sz w:val="26"/>
                <w:szCs w:val="26"/>
              </w:rPr>
              <w:t>umu</w:t>
            </w:r>
            <w:r>
              <w:rPr>
                <w:rFonts w:ascii="Times New Roman" w:hAnsi="Times New Roman" w:cs="Times New Roman"/>
                <w:bCs/>
                <w:sz w:val="26"/>
                <w:szCs w:val="26"/>
              </w:rPr>
              <w:t xml:space="preserve"> projekta īstenošanas termiņ</w:t>
            </w:r>
            <w:r w:rsidR="00EA45C0">
              <w:rPr>
                <w:rFonts w:ascii="Times New Roman" w:hAnsi="Times New Roman" w:cs="Times New Roman"/>
                <w:bCs/>
                <w:sz w:val="26"/>
                <w:szCs w:val="26"/>
              </w:rPr>
              <w:t>a pagarināšanai</w:t>
            </w:r>
            <w:r w:rsidR="00E611FD">
              <w:rPr>
                <w:rFonts w:ascii="Times New Roman" w:hAnsi="Times New Roman" w:cs="Times New Roman"/>
                <w:bCs/>
                <w:sz w:val="26"/>
                <w:szCs w:val="26"/>
              </w:rPr>
              <w:t xml:space="preserve"> atbilstoši </w:t>
            </w:r>
            <w:r w:rsidR="00E611FD" w:rsidRPr="00EC687A">
              <w:rPr>
                <w:rFonts w:ascii="Times New Roman" w:hAnsi="Times New Roman" w:cs="Times New Roman"/>
                <w:sz w:val="26"/>
                <w:szCs w:val="26"/>
              </w:rPr>
              <w:t xml:space="preserve"> </w:t>
            </w:r>
            <w:r w:rsidR="007034E5">
              <w:rPr>
                <w:rFonts w:ascii="Times New Roman" w:hAnsi="Times New Roman"/>
                <w:bCs/>
                <w:sz w:val="26"/>
                <w:szCs w:val="26"/>
              </w:rPr>
              <w:t>donorvalstu (Norvēģija, Īslande, Lihtenšteina)</w:t>
            </w:r>
            <w:r w:rsidR="007034E5">
              <w:rPr>
                <w:rFonts w:ascii="Times New Roman" w:hAnsi="Times New Roman"/>
                <w:sz w:val="26"/>
                <w:szCs w:val="26"/>
              </w:rPr>
              <w:t xml:space="preserve"> lēmumam.</w:t>
            </w:r>
            <w:r w:rsidR="00453755">
              <w:rPr>
                <w:rFonts w:ascii="Times New Roman" w:hAnsi="Times New Roman" w:cs="Times New Roman"/>
                <w:sz w:val="26"/>
                <w:szCs w:val="26"/>
              </w:rPr>
              <w:t xml:space="preserve"> </w:t>
            </w:r>
            <w:r w:rsidR="00EC687A" w:rsidRPr="00EC687A">
              <w:rPr>
                <w:rFonts w:ascii="Times New Roman" w:hAnsi="Times New Roman" w:cs="Times New Roman"/>
                <w:sz w:val="26"/>
                <w:szCs w:val="26"/>
              </w:rPr>
              <w:t>Atbilstoši Eiropas Ekonomikas zonas finanšu instrumenta komitejas 2011.gada 13.janvārī apstiprināto noteikumu par Eiropas Ekonomikas zonas finanšu instrumenta ieviešanu 2009.—2014.gadā un Norvēģijas Ārlietu ministrijas 2011.gada 11.februārī apstiprināto noteikumu par Norvēģijas finanšu instrumenta ieviešanu 2009.—2014.gadā 7.14 panta 4.punkt</w:t>
            </w:r>
            <w:r w:rsidR="00CA4C41">
              <w:rPr>
                <w:rFonts w:ascii="Times New Roman" w:hAnsi="Times New Roman" w:cs="Times New Roman"/>
                <w:sz w:val="26"/>
                <w:szCs w:val="26"/>
              </w:rPr>
              <w:t xml:space="preserve">am </w:t>
            </w:r>
            <w:r w:rsidR="00CA4C41" w:rsidRPr="006F75EE">
              <w:rPr>
                <w:rFonts w:ascii="Times New Roman" w:hAnsi="Times New Roman" w:cs="Times New Roman"/>
                <w:sz w:val="26"/>
                <w:szCs w:val="26"/>
              </w:rPr>
              <w:t xml:space="preserve">izņēmuma gadījumā maksimālais </w:t>
            </w:r>
            <w:r w:rsidR="00EC687A" w:rsidRPr="006F75EE">
              <w:rPr>
                <w:rFonts w:ascii="Times New Roman" w:hAnsi="Times New Roman" w:cs="Times New Roman"/>
                <w:sz w:val="26"/>
                <w:szCs w:val="26"/>
              </w:rPr>
              <w:t>projekta izdevumu attiecināmības period</w:t>
            </w:r>
            <w:r w:rsidR="00CA4C41" w:rsidRPr="006F75EE">
              <w:rPr>
                <w:rFonts w:ascii="Times New Roman" w:hAnsi="Times New Roman" w:cs="Times New Roman"/>
                <w:sz w:val="26"/>
                <w:szCs w:val="26"/>
              </w:rPr>
              <w:t>s</w:t>
            </w:r>
            <w:r w:rsidR="00EC687A" w:rsidRPr="006F75EE">
              <w:rPr>
                <w:rFonts w:ascii="Times New Roman" w:hAnsi="Times New Roman" w:cs="Times New Roman"/>
                <w:sz w:val="26"/>
                <w:szCs w:val="26"/>
              </w:rPr>
              <w:t xml:space="preserve"> </w:t>
            </w:r>
            <w:r w:rsidR="00CA4C41" w:rsidRPr="006F75EE">
              <w:rPr>
                <w:rFonts w:ascii="Times New Roman" w:hAnsi="Times New Roman" w:cs="Times New Roman"/>
                <w:sz w:val="26"/>
                <w:szCs w:val="26"/>
              </w:rPr>
              <w:t xml:space="preserve">ir pagarināms līdz </w:t>
            </w:r>
            <w:r w:rsidR="00EC687A" w:rsidRPr="006F75EE">
              <w:rPr>
                <w:rFonts w:ascii="Times New Roman" w:hAnsi="Times New Roman" w:cs="Times New Roman"/>
                <w:sz w:val="26"/>
                <w:szCs w:val="26"/>
              </w:rPr>
              <w:t>2017.gada 30.aprīli</w:t>
            </w:r>
            <w:r w:rsidR="00CA4C41" w:rsidRPr="006F75EE">
              <w:rPr>
                <w:rFonts w:ascii="Times New Roman" w:hAnsi="Times New Roman" w:cs="Times New Roman"/>
                <w:sz w:val="26"/>
                <w:szCs w:val="26"/>
              </w:rPr>
              <w:t>m.</w:t>
            </w:r>
            <w:r w:rsidR="00CA4C41" w:rsidRPr="00CA4C41">
              <w:rPr>
                <w:rFonts w:ascii="Times New Roman" w:hAnsi="Times New Roman" w:cs="Times New Roman"/>
                <w:b/>
                <w:sz w:val="26"/>
                <w:szCs w:val="26"/>
              </w:rPr>
              <w:t xml:space="preserve"> </w:t>
            </w:r>
            <w:r w:rsidR="007034E5">
              <w:rPr>
                <w:rFonts w:ascii="Times New Roman" w:hAnsi="Times New Roman" w:cs="Times New Roman"/>
                <w:sz w:val="26"/>
                <w:szCs w:val="26"/>
              </w:rPr>
              <w:t xml:space="preserve">Finanšu instrumenta birojs (turpmāk – FIB) </w:t>
            </w:r>
            <w:r w:rsidR="00EC687A" w:rsidRPr="00EC687A">
              <w:rPr>
                <w:rFonts w:ascii="Times New Roman" w:hAnsi="Times New Roman" w:cs="Times New Roman"/>
                <w:sz w:val="26"/>
                <w:szCs w:val="26"/>
              </w:rPr>
              <w:t xml:space="preserve">š.g. 26.maija vēstulē informēja Finanšu ministriju par iespēju pagarināt </w:t>
            </w:r>
            <w:r>
              <w:rPr>
                <w:rFonts w:ascii="Times New Roman" w:hAnsi="Times New Roman" w:cs="Times New Roman"/>
                <w:sz w:val="26"/>
                <w:szCs w:val="26"/>
              </w:rPr>
              <w:t>p</w:t>
            </w:r>
            <w:r w:rsidR="00EC687A" w:rsidRPr="00EC687A">
              <w:rPr>
                <w:rFonts w:ascii="Times New Roman" w:hAnsi="Times New Roman" w:cs="Times New Roman"/>
                <w:sz w:val="26"/>
                <w:szCs w:val="26"/>
              </w:rPr>
              <w:t>rogrammas projektu īstenošanas termiņu</w:t>
            </w:r>
            <w:r w:rsidR="002B237F">
              <w:rPr>
                <w:rFonts w:ascii="Times New Roman" w:hAnsi="Times New Roman" w:cs="Times New Roman"/>
                <w:sz w:val="26"/>
                <w:szCs w:val="26"/>
              </w:rPr>
              <w:t xml:space="preserve"> </w:t>
            </w:r>
            <w:r w:rsidR="002B237F" w:rsidRPr="006F75EE">
              <w:rPr>
                <w:rFonts w:ascii="Times New Roman" w:hAnsi="Times New Roman" w:cs="Times New Roman"/>
                <w:sz w:val="26"/>
                <w:szCs w:val="26"/>
              </w:rPr>
              <w:t>līdz 2017.gada 30.aprīlim</w:t>
            </w:r>
            <w:r w:rsidR="00EC687A" w:rsidRPr="006F75EE">
              <w:rPr>
                <w:rFonts w:ascii="Times New Roman" w:hAnsi="Times New Roman" w:cs="Times New Roman"/>
                <w:sz w:val="26"/>
                <w:szCs w:val="26"/>
              </w:rPr>
              <w:t xml:space="preserve"> </w:t>
            </w:r>
            <w:r w:rsidR="00EC687A" w:rsidRPr="00EC687A">
              <w:rPr>
                <w:rFonts w:ascii="Times New Roman" w:hAnsi="Times New Roman" w:cs="Times New Roman"/>
                <w:sz w:val="26"/>
                <w:szCs w:val="26"/>
              </w:rPr>
              <w:t xml:space="preserve">tiem </w:t>
            </w:r>
            <w:r>
              <w:rPr>
                <w:rFonts w:ascii="Times New Roman" w:hAnsi="Times New Roman" w:cs="Times New Roman"/>
                <w:sz w:val="26"/>
                <w:szCs w:val="26"/>
              </w:rPr>
              <w:t>p</w:t>
            </w:r>
            <w:r w:rsidR="00EC687A" w:rsidRPr="00EC687A">
              <w:rPr>
                <w:rFonts w:ascii="Times New Roman" w:hAnsi="Times New Roman" w:cs="Times New Roman"/>
                <w:sz w:val="26"/>
                <w:szCs w:val="26"/>
              </w:rPr>
              <w:t xml:space="preserve">rogrammas līgumiem par projektu īstenošanu, kas noslēgti un par kuriem līdz š.g. 15.septembrim ir iesniegta informācija donorvalsts informācijas sistēmā. </w:t>
            </w:r>
          </w:p>
          <w:p w14:paraId="6CD5E4AC" w14:textId="36783197" w:rsidR="00EC687A" w:rsidRPr="006F75EE" w:rsidRDefault="00EC687A" w:rsidP="009459A6">
            <w:pPr>
              <w:tabs>
                <w:tab w:val="left" w:pos="423"/>
                <w:tab w:val="left" w:pos="3686"/>
                <w:tab w:val="left" w:pos="6444"/>
              </w:tabs>
              <w:spacing w:after="0" w:line="240" w:lineRule="auto"/>
              <w:ind w:left="143" w:right="141"/>
              <w:jc w:val="both"/>
              <w:rPr>
                <w:rFonts w:ascii="Times New Roman" w:hAnsi="Times New Roman" w:cs="Times New Roman"/>
                <w:sz w:val="26"/>
                <w:szCs w:val="26"/>
              </w:rPr>
            </w:pPr>
            <w:r w:rsidRPr="00EC687A">
              <w:rPr>
                <w:rFonts w:ascii="Times New Roman" w:hAnsi="Times New Roman" w:cs="Times New Roman"/>
                <w:sz w:val="26"/>
                <w:szCs w:val="26"/>
              </w:rPr>
              <w:t xml:space="preserve">Ņemot vērā iepriekšminēto un pamatojoties uz </w:t>
            </w:r>
            <w:r w:rsidR="00257188">
              <w:rPr>
                <w:rFonts w:ascii="Times New Roman" w:hAnsi="Times New Roman" w:cs="Times New Roman"/>
                <w:sz w:val="26"/>
                <w:szCs w:val="26"/>
              </w:rPr>
              <w:t>p</w:t>
            </w:r>
            <w:r w:rsidRPr="00EC687A">
              <w:rPr>
                <w:rFonts w:ascii="Times New Roman" w:hAnsi="Times New Roman" w:cs="Times New Roman"/>
                <w:sz w:val="26"/>
                <w:szCs w:val="26"/>
              </w:rPr>
              <w:t xml:space="preserve">rogrammu apsaimniekotāju iesniegumiem Eiropas Ekonomikas zonas finanšu instrumenta un Norvēģijas finanšu instrumenta (turpmāk - </w:t>
            </w:r>
            <w:r w:rsidRPr="00EC687A">
              <w:rPr>
                <w:rFonts w:ascii="Times New Roman" w:eastAsia="Times New Roman" w:hAnsi="Times New Roman" w:cs="Times New Roman"/>
                <w:sz w:val="26"/>
                <w:szCs w:val="26"/>
              </w:rPr>
              <w:t xml:space="preserve">EEZ/Norvēģijas finanšu instruments) vadošā iestāde </w:t>
            </w:r>
            <w:r w:rsidRPr="00EC687A">
              <w:rPr>
                <w:rFonts w:ascii="Times New Roman" w:hAnsi="Times New Roman" w:cs="Times New Roman"/>
                <w:sz w:val="26"/>
                <w:szCs w:val="26"/>
              </w:rPr>
              <w:t xml:space="preserve">izvērtēja un iesniedza FIB projektu pagarinājumu pieteikumus atsevišķās </w:t>
            </w:r>
            <w:r w:rsidRPr="00EC687A">
              <w:rPr>
                <w:rFonts w:ascii="Times New Roman" w:hAnsi="Times New Roman" w:cs="Times New Roman"/>
                <w:sz w:val="26"/>
                <w:szCs w:val="26"/>
              </w:rPr>
              <w:lastRenderedPageBreak/>
              <w:t>EEZ/Norvēģijas finanšu instrumentu īstenotajās programmās.</w:t>
            </w:r>
            <w:r w:rsidR="00E611FD">
              <w:rPr>
                <w:rFonts w:ascii="Times New Roman" w:hAnsi="Times New Roman" w:cs="Times New Roman"/>
                <w:sz w:val="26"/>
                <w:szCs w:val="26"/>
              </w:rPr>
              <w:t xml:space="preserve"> </w:t>
            </w:r>
            <w:r w:rsidRPr="00EC687A">
              <w:rPr>
                <w:rFonts w:ascii="Times New Roman" w:hAnsi="Times New Roman" w:cs="Times New Roman"/>
                <w:sz w:val="26"/>
                <w:szCs w:val="26"/>
              </w:rPr>
              <w:t>FIB ar š.g. 13.oktobra vēstuli informēja Finanšu ministriju, ka visiem EEZ/Norvēģijas finanšu instrumentu projektiem, kuriem tika pieprasīts pagarinājums, tas arī tika piešķirt</w:t>
            </w:r>
            <w:r w:rsidR="00CA4C41">
              <w:rPr>
                <w:rFonts w:ascii="Times New Roman" w:hAnsi="Times New Roman" w:cs="Times New Roman"/>
                <w:sz w:val="26"/>
                <w:szCs w:val="26"/>
              </w:rPr>
              <w:t>s</w:t>
            </w:r>
            <w:r w:rsidR="00CD44A9" w:rsidRPr="006F75EE">
              <w:rPr>
                <w:rFonts w:ascii="Times New Roman" w:hAnsi="Times New Roman" w:cs="Times New Roman"/>
                <w:sz w:val="26"/>
                <w:szCs w:val="26"/>
              </w:rPr>
              <w:t>, tādejādi atbalstot pagarināt projektu īstenošanas termiņu līdz 2017.gada 30.aprīlim.</w:t>
            </w:r>
          </w:p>
          <w:p w14:paraId="26183FFB" w14:textId="1A07592A" w:rsidR="00435F5D" w:rsidRPr="006F75EE" w:rsidRDefault="00EC687A" w:rsidP="00467A60">
            <w:pPr>
              <w:widowControl w:val="0"/>
              <w:tabs>
                <w:tab w:val="left" w:pos="3686"/>
              </w:tabs>
              <w:spacing w:line="240" w:lineRule="auto"/>
              <w:ind w:left="143" w:right="141"/>
              <w:jc w:val="both"/>
              <w:rPr>
                <w:rFonts w:ascii="Times New Roman" w:eastAsia="Calibri" w:hAnsi="Times New Roman" w:cs="Times New Roman"/>
                <w:sz w:val="26"/>
                <w:szCs w:val="26"/>
              </w:rPr>
            </w:pPr>
            <w:r w:rsidRPr="00EC687A">
              <w:rPr>
                <w:rFonts w:ascii="Times New Roman" w:eastAsia="Calibri" w:hAnsi="Times New Roman" w:cs="Times New Roman"/>
                <w:sz w:val="26"/>
                <w:szCs w:val="26"/>
              </w:rPr>
              <w:t>L</w:t>
            </w:r>
            <w:r w:rsidR="00F93185">
              <w:rPr>
                <w:rFonts w:ascii="Times New Roman" w:eastAsia="Calibri" w:hAnsi="Times New Roman" w:cs="Times New Roman"/>
                <w:sz w:val="26"/>
                <w:szCs w:val="26"/>
              </w:rPr>
              <w:t>īdz ar to, lai</w:t>
            </w:r>
            <w:r w:rsidRPr="00EC687A">
              <w:rPr>
                <w:rFonts w:ascii="Times New Roman" w:eastAsia="Calibri" w:hAnsi="Times New Roman" w:cs="Times New Roman"/>
                <w:sz w:val="26"/>
                <w:szCs w:val="26"/>
              </w:rPr>
              <w:t xml:space="preserve"> </w:t>
            </w:r>
            <w:r w:rsidR="00D8557D">
              <w:rPr>
                <w:rFonts w:ascii="Times New Roman" w:eastAsia="Calibri" w:hAnsi="Times New Roman" w:cs="Times New Roman"/>
                <w:sz w:val="26"/>
                <w:szCs w:val="26"/>
              </w:rPr>
              <w:t xml:space="preserve">līdzfinansējuma </w:t>
            </w:r>
            <w:r w:rsidR="00BF5E5A" w:rsidRPr="00EC687A">
              <w:rPr>
                <w:rFonts w:ascii="Times New Roman" w:eastAsia="Calibri" w:hAnsi="Times New Roman" w:cs="Times New Roman"/>
                <w:sz w:val="26"/>
                <w:szCs w:val="26"/>
              </w:rPr>
              <w:t>saņēmēj</w:t>
            </w:r>
            <w:r w:rsidR="00BF5E5A">
              <w:rPr>
                <w:rFonts w:ascii="Times New Roman" w:eastAsia="Calibri" w:hAnsi="Times New Roman" w:cs="Times New Roman"/>
                <w:sz w:val="26"/>
                <w:szCs w:val="26"/>
              </w:rPr>
              <w:t>u</w:t>
            </w:r>
            <w:r w:rsidR="00BF5E5A" w:rsidRPr="00EC687A">
              <w:rPr>
                <w:rFonts w:ascii="Times New Roman" w:eastAsia="Calibri" w:hAnsi="Times New Roman" w:cs="Times New Roman"/>
                <w:sz w:val="26"/>
                <w:szCs w:val="26"/>
              </w:rPr>
              <w:t xml:space="preserve"> </w:t>
            </w:r>
            <w:r w:rsidRPr="00EC687A">
              <w:rPr>
                <w:rFonts w:ascii="Times New Roman" w:eastAsia="Calibri" w:hAnsi="Times New Roman" w:cs="Times New Roman"/>
                <w:sz w:val="26"/>
                <w:szCs w:val="26"/>
              </w:rPr>
              <w:t>projekta līgumos varētu tikt veikti attiecīgi grozījumi</w:t>
            </w:r>
            <w:r w:rsidR="003843F1">
              <w:rPr>
                <w:rFonts w:ascii="Times New Roman" w:eastAsia="Calibri" w:hAnsi="Times New Roman" w:cs="Times New Roman"/>
                <w:sz w:val="26"/>
                <w:szCs w:val="26"/>
              </w:rPr>
              <w:t xml:space="preserve"> atbilstoši FIB norādēm, tad </w:t>
            </w:r>
            <w:r w:rsidRPr="00EC687A">
              <w:rPr>
                <w:rFonts w:ascii="Times New Roman" w:eastAsia="Calibri" w:hAnsi="Times New Roman" w:cs="Times New Roman"/>
                <w:sz w:val="26"/>
                <w:szCs w:val="26"/>
              </w:rPr>
              <w:t xml:space="preserve">Ministru kabineta </w:t>
            </w:r>
            <w:r w:rsidRPr="00EC687A">
              <w:rPr>
                <w:rFonts w:ascii="Times New Roman" w:eastAsia="Times New Roman" w:hAnsi="Times New Roman" w:cs="Times New Roman"/>
                <w:bCs/>
                <w:sz w:val="26"/>
                <w:szCs w:val="26"/>
              </w:rPr>
              <w:t xml:space="preserve">2012.gada 9.oktobra </w:t>
            </w:r>
            <w:r w:rsidR="003843F1" w:rsidRPr="00EC687A">
              <w:rPr>
                <w:rFonts w:ascii="Times New Roman" w:eastAsia="Times New Roman" w:hAnsi="Times New Roman" w:cs="Times New Roman"/>
                <w:bCs/>
                <w:sz w:val="26"/>
                <w:szCs w:val="26"/>
              </w:rPr>
              <w:t>noteikum</w:t>
            </w:r>
            <w:r w:rsidR="003843F1">
              <w:rPr>
                <w:rFonts w:ascii="Times New Roman" w:eastAsia="Times New Roman" w:hAnsi="Times New Roman" w:cs="Times New Roman"/>
                <w:bCs/>
                <w:sz w:val="26"/>
                <w:szCs w:val="26"/>
              </w:rPr>
              <w:t>os</w:t>
            </w:r>
            <w:r w:rsidR="003843F1" w:rsidRPr="00EC687A">
              <w:rPr>
                <w:rFonts w:ascii="Times New Roman" w:eastAsia="Times New Roman" w:hAnsi="Times New Roman" w:cs="Times New Roman"/>
                <w:bCs/>
                <w:sz w:val="26"/>
                <w:szCs w:val="26"/>
              </w:rPr>
              <w:t xml:space="preserve"> </w:t>
            </w:r>
            <w:r w:rsidRPr="00EC687A">
              <w:rPr>
                <w:rFonts w:ascii="Times New Roman" w:eastAsia="Times New Roman" w:hAnsi="Times New Roman" w:cs="Times New Roman"/>
                <w:bCs/>
                <w:sz w:val="26"/>
                <w:szCs w:val="26"/>
              </w:rPr>
              <w:t>Nr.694</w:t>
            </w:r>
            <w:r w:rsidRPr="00EC687A">
              <w:rPr>
                <w:rFonts w:ascii="Times New Roman" w:eastAsia="Times New Roman" w:hAnsi="Times New Roman" w:cs="Times New Roman"/>
                <w:sz w:val="26"/>
                <w:szCs w:val="26"/>
              </w:rPr>
              <w:t xml:space="preserve"> “</w:t>
            </w:r>
            <w:r w:rsidRPr="00EC687A">
              <w:rPr>
                <w:rFonts w:ascii="Times New Roman" w:eastAsia="Times New Roman" w:hAnsi="Times New Roman" w:cs="Times New Roman"/>
                <w:bCs/>
                <w:sz w:val="26"/>
                <w:szCs w:val="26"/>
              </w:rPr>
              <w:t>Eiropas Ekonomikas zonas finanšu instrumenta un Norvēģijas finanšu instrumenta 2009.–2014.gada perioda vadības noteikumi”</w:t>
            </w:r>
            <w:r w:rsidRPr="00EC687A">
              <w:rPr>
                <w:rFonts w:ascii="Times New Roman" w:eastAsia="Calibri" w:hAnsi="Times New Roman" w:cs="Times New Roman"/>
                <w:sz w:val="26"/>
                <w:szCs w:val="26"/>
              </w:rPr>
              <w:t xml:space="preserve"> (turpmāk – Noteikumi) </w:t>
            </w:r>
            <w:r w:rsidRPr="006F75EE">
              <w:rPr>
                <w:rFonts w:ascii="Times New Roman" w:eastAsia="Calibri" w:hAnsi="Times New Roman" w:cs="Times New Roman"/>
                <w:sz w:val="26"/>
                <w:szCs w:val="26"/>
              </w:rPr>
              <w:t>ir nepieciešam</w:t>
            </w:r>
            <w:r w:rsidR="003843F1" w:rsidRPr="006F75EE">
              <w:rPr>
                <w:rFonts w:ascii="Times New Roman" w:eastAsia="Calibri" w:hAnsi="Times New Roman" w:cs="Times New Roman"/>
                <w:sz w:val="26"/>
                <w:szCs w:val="26"/>
              </w:rPr>
              <w:t>i</w:t>
            </w:r>
            <w:r w:rsidR="00BF5E5A" w:rsidRPr="006F75EE">
              <w:rPr>
                <w:rFonts w:ascii="Times New Roman" w:eastAsia="Calibri" w:hAnsi="Times New Roman" w:cs="Times New Roman"/>
                <w:sz w:val="26"/>
                <w:szCs w:val="26"/>
              </w:rPr>
              <w:t xml:space="preserve"> grozījumi</w:t>
            </w:r>
            <w:r w:rsidR="003843F1" w:rsidRPr="006F75EE">
              <w:rPr>
                <w:rFonts w:ascii="Times New Roman" w:eastAsia="Calibri" w:hAnsi="Times New Roman" w:cs="Times New Roman"/>
                <w:sz w:val="26"/>
                <w:szCs w:val="26"/>
              </w:rPr>
              <w:t>.</w:t>
            </w:r>
          </w:p>
          <w:p w14:paraId="06269EDF" w14:textId="3F2C8F0E" w:rsidR="0042296D" w:rsidRDefault="00BF5E5A" w:rsidP="0042296D">
            <w:pPr>
              <w:widowControl w:val="0"/>
              <w:tabs>
                <w:tab w:val="left" w:pos="3686"/>
              </w:tabs>
              <w:spacing w:line="240" w:lineRule="auto"/>
              <w:ind w:left="143" w:right="141"/>
              <w:jc w:val="both"/>
              <w:rPr>
                <w:rFonts w:ascii="Times New Roman" w:hAnsi="Times New Roman" w:cs="Times New Roman"/>
                <w:b/>
                <w:sz w:val="26"/>
                <w:szCs w:val="26"/>
              </w:rPr>
            </w:pPr>
            <w:r w:rsidRPr="006F75EE">
              <w:rPr>
                <w:rFonts w:ascii="Times New Roman" w:eastAsia="Calibri" w:hAnsi="Times New Roman" w:cs="Times New Roman"/>
                <w:sz w:val="26"/>
                <w:szCs w:val="26"/>
              </w:rPr>
              <w:t>Pirmkārt</w:t>
            </w:r>
            <w:r w:rsidR="001147C1" w:rsidRPr="006F75EE">
              <w:rPr>
                <w:rFonts w:ascii="Times New Roman" w:eastAsia="Calibri" w:hAnsi="Times New Roman" w:cs="Times New Roman"/>
                <w:sz w:val="26"/>
                <w:szCs w:val="26"/>
              </w:rPr>
              <w:t>,</w:t>
            </w:r>
            <w:r w:rsidRPr="006F75EE">
              <w:rPr>
                <w:rFonts w:ascii="Times New Roman" w:eastAsia="Calibri" w:hAnsi="Times New Roman" w:cs="Times New Roman"/>
                <w:sz w:val="26"/>
                <w:szCs w:val="26"/>
              </w:rPr>
              <w:t xml:space="preserve"> </w:t>
            </w:r>
            <w:r w:rsidR="003843F1" w:rsidRPr="006F75EE">
              <w:rPr>
                <w:rFonts w:ascii="Times New Roman" w:eastAsia="Calibri" w:hAnsi="Times New Roman" w:cs="Times New Roman"/>
                <w:sz w:val="26"/>
                <w:szCs w:val="26"/>
              </w:rPr>
              <w:t>n</w:t>
            </w:r>
            <w:r w:rsidRPr="006F75EE">
              <w:rPr>
                <w:rFonts w:ascii="Times New Roman" w:eastAsia="Calibri" w:hAnsi="Times New Roman" w:cs="Times New Roman"/>
                <w:sz w:val="26"/>
                <w:szCs w:val="26"/>
              </w:rPr>
              <w:t xml:space="preserve">oteikumu projekts paredz papildināt Noteikumus </w:t>
            </w:r>
            <w:r w:rsidR="00EC687A" w:rsidRPr="006F75EE">
              <w:rPr>
                <w:rFonts w:ascii="Times New Roman" w:eastAsia="Calibri" w:hAnsi="Times New Roman" w:cs="Times New Roman"/>
                <w:sz w:val="26"/>
                <w:szCs w:val="26"/>
              </w:rPr>
              <w:t>ar jaunu punktu nosakot</w:t>
            </w:r>
            <w:r w:rsidR="00EC687A" w:rsidRPr="00453755">
              <w:rPr>
                <w:rFonts w:ascii="Times New Roman" w:eastAsia="Calibri" w:hAnsi="Times New Roman" w:cs="Times New Roman"/>
                <w:sz w:val="26"/>
                <w:szCs w:val="26"/>
              </w:rPr>
              <w:t xml:space="preserve">, </w:t>
            </w:r>
            <w:r w:rsidR="0042296D" w:rsidRPr="00453755">
              <w:rPr>
                <w:rFonts w:ascii="Times New Roman" w:eastAsia="Calibri" w:hAnsi="Times New Roman" w:cs="Times New Roman"/>
                <w:sz w:val="26"/>
                <w:szCs w:val="26"/>
              </w:rPr>
              <w:t>programmas apsaimniekotājs vai aģentūra pagarina projekta īstenošanas termiņu atbilstoši  donorvalstu lēmumam par attiecīgā projekta īstenošanas termiņa pagarināšanu</w:t>
            </w:r>
            <w:r w:rsidR="0042296D" w:rsidRPr="00453755">
              <w:rPr>
                <w:rFonts w:ascii="Times New Roman" w:hAnsi="Times New Roman" w:cs="Times New Roman"/>
                <w:color w:val="212121"/>
                <w:sz w:val="26"/>
                <w:szCs w:val="26"/>
              </w:rPr>
              <w:t>, kas ir ne vēlāk kā līdz 2017.gada 30.aprīlim.</w:t>
            </w:r>
          </w:p>
          <w:p w14:paraId="51AE8560" w14:textId="12A9761B" w:rsidR="0029166A" w:rsidRPr="0042296D" w:rsidRDefault="00622B60" w:rsidP="0042296D">
            <w:pPr>
              <w:widowControl w:val="0"/>
              <w:tabs>
                <w:tab w:val="left" w:pos="3686"/>
              </w:tabs>
              <w:spacing w:line="240" w:lineRule="auto"/>
              <w:ind w:left="143" w:right="141"/>
              <w:jc w:val="both"/>
              <w:rPr>
                <w:rFonts w:ascii="Times New Roman" w:eastAsia="Calibri" w:hAnsi="Times New Roman" w:cs="Times New Roman"/>
                <w:sz w:val="26"/>
                <w:szCs w:val="26"/>
              </w:rPr>
            </w:pPr>
            <w:r>
              <w:rPr>
                <w:rFonts w:ascii="Times New Roman" w:hAnsi="Times New Roman" w:cs="Times New Roman"/>
                <w:sz w:val="26"/>
                <w:szCs w:val="26"/>
              </w:rPr>
              <w:t xml:space="preserve">Ņemot vērā augstākminēto </w:t>
            </w:r>
            <w:r w:rsidR="00F93185">
              <w:rPr>
                <w:rFonts w:ascii="Times New Roman" w:hAnsi="Times New Roman" w:cs="Times New Roman"/>
                <w:sz w:val="26"/>
                <w:szCs w:val="26"/>
              </w:rPr>
              <w:t>programmu apsaimniekotājiem</w:t>
            </w:r>
            <w:r w:rsidR="00E92B07">
              <w:rPr>
                <w:rFonts w:ascii="Times New Roman" w:hAnsi="Times New Roman" w:cs="Times New Roman"/>
                <w:sz w:val="26"/>
                <w:szCs w:val="26"/>
              </w:rPr>
              <w:t xml:space="preserve"> </w:t>
            </w:r>
            <w:r w:rsidR="00F93185">
              <w:rPr>
                <w:rFonts w:ascii="Times New Roman" w:hAnsi="Times New Roman" w:cs="Times New Roman"/>
                <w:sz w:val="26"/>
                <w:szCs w:val="26"/>
              </w:rPr>
              <w:t>nebūs jāveic grozījumi programmu noteikumos attiecībā uz projekta īstenošanas termiņa pagarinājumiem. Līdz ar to</w:t>
            </w:r>
            <w:r w:rsidR="001147C1">
              <w:rPr>
                <w:rFonts w:ascii="Times New Roman" w:hAnsi="Times New Roman" w:cs="Times New Roman"/>
                <w:sz w:val="26"/>
                <w:szCs w:val="26"/>
              </w:rPr>
              <w:t>, tiks nodrošināts, ka grozījumi projektu līgumos tiks noslēgti ātrāk un</w:t>
            </w:r>
            <w:r w:rsidR="00F93185">
              <w:rPr>
                <w:rFonts w:ascii="Times New Roman" w:hAnsi="Times New Roman" w:cs="Times New Roman"/>
                <w:sz w:val="26"/>
                <w:szCs w:val="26"/>
              </w:rPr>
              <w:t xml:space="preserve"> līdzfinansējuma saņēmēji varēs arī veikt nepieciešamos iepirkumus projekta ietvaros</w:t>
            </w:r>
            <w:r w:rsidR="001147C1">
              <w:rPr>
                <w:rFonts w:ascii="Times New Roman" w:hAnsi="Times New Roman" w:cs="Times New Roman"/>
                <w:sz w:val="26"/>
                <w:szCs w:val="26"/>
              </w:rPr>
              <w:t>, lai n</w:t>
            </w:r>
            <w:r w:rsidR="006F75EE">
              <w:rPr>
                <w:rFonts w:ascii="Times New Roman" w:hAnsi="Times New Roman" w:cs="Times New Roman"/>
                <w:sz w:val="26"/>
                <w:szCs w:val="26"/>
              </w:rPr>
              <w:t>o</w:t>
            </w:r>
            <w:r w:rsidR="001147C1">
              <w:rPr>
                <w:rFonts w:ascii="Times New Roman" w:hAnsi="Times New Roman" w:cs="Times New Roman"/>
                <w:sz w:val="26"/>
                <w:szCs w:val="26"/>
              </w:rPr>
              <w:t xml:space="preserve">drošinātu aktivitātes projekta pagarinātajā </w:t>
            </w:r>
            <w:r w:rsidR="001147C1" w:rsidRPr="002805C0">
              <w:rPr>
                <w:rFonts w:ascii="Times New Roman" w:hAnsi="Times New Roman" w:cs="Times New Roman"/>
                <w:sz w:val="26"/>
                <w:szCs w:val="26"/>
              </w:rPr>
              <w:t>termiņā</w:t>
            </w:r>
            <w:r w:rsidR="00F93185" w:rsidRPr="002805C0">
              <w:rPr>
                <w:rFonts w:ascii="Times New Roman" w:hAnsi="Times New Roman" w:cs="Times New Roman"/>
                <w:sz w:val="26"/>
                <w:szCs w:val="26"/>
              </w:rPr>
              <w:t xml:space="preserve">. </w:t>
            </w:r>
          </w:p>
          <w:p w14:paraId="3F4E8F0A" w14:textId="4D9B4AB0" w:rsidR="004F7007" w:rsidRPr="00F31101" w:rsidRDefault="00F93185" w:rsidP="00F31101">
            <w:pPr>
              <w:widowControl w:val="0"/>
              <w:tabs>
                <w:tab w:val="left" w:pos="3686"/>
              </w:tabs>
              <w:spacing w:line="240" w:lineRule="auto"/>
              <w:ind w:left="143" w:right="141"/>
              <w:jc w:val="both"/>
              <w:rPr>
                <w:rFonts w:ascii="Times New Roman" w:eastAsia="Calibri" w:hAnsi="Times New Roman" w:cs="Times New Roman"/>
                <w:sz w:val="26"/>
                <w:szCs w:val="26"/>
              </w:rPr>
            </w:pPr>
            <w:r w:rsidRPr="002805C0">
              <w:rPr>
                <w:rFonts w:ascii="Times New Roman" w:hAnsi="Times New Roman" w:cs="Times New Roman"/>
                <w:sz w:val="26"/>
                <w:szCs w:val="26"/>
              </w:rPr>
              <w:t>Ot</w:t>
            </w:r>
            <w:r w:rsidR="001147C1" w:rsidRPr="002805C0">
              <w:rPr>
                <w:rFonts w:ascii="Times New Roman" w:hAnsi="Times New Roman" w:cs="Times New Roman"/>
                <w:sz w:val="26"/>
                <w:szCs w:val="26"/>
              </w:rPr>
              <w:t>r</w:t>
            </w:r>
            <w:r w:rsidRPr="002805C0">
              <w:rPr>
                <w:rFonts w:ascii="Times New Roman" w:hAnsi="Times New Roman" w:cs="Times New Roman"/>
                <w:sz w:val="26"/>
                <w:szCs w:val="26"/>
              </w:rPr>
              <w:t>kārt</w:t>
            </w:r>
            <w:r w:rsidR="001147C1" w:rsidRPr="002805C0">
              <w:rPr>
                <w:rFonts w:ascii="Times New Roman" w:hAnsi="Times New Roman" w:cs="Times New Roman"/>
                <w:sz w:val="26"/>
                <w:szCs w:val="26"/>
              </w:rPr>
              <w:t>,</w:t>
            </w:r>
            <w:r w:rsidR="003843F1" w:rsidRPr="002805C0">
              <w:rPr>
                <w:rFonts w:ascii="Times New Roman" w:hAnsi="Times New Roman" w:cs="Times New Roman"/>
                <w:sz w:val="26"/>
                <w:szCs w:val="26"/>
              </w:rPr>
              <w:t xml:space="preserve"> </w:t>
            </w:r>
            <w:r w:rsidR="00F06C54">
              <w:rPr>
                <w:rFonts w:ascii="Times New Roman" w:hAnsi="Times New Roman" w:cs="Times New Roman"/>
                <w:sz w:val="26"/>
                <w:szCs w:val="26"/>
              </w:rPr>
              <w:t xml:space="preserve">atbilstoši </w:t>
            </w:r>
            <w:r w:rsidR="00F06C54" w:rsidRPr="00EC687A">
              <w:rPr>
                <w:rFonts w:ascii="Times New Roman" w:hAnsi="Times New Roman" w:cs="Times New Roman"/>
                <w:sz w:val="26"/>
                <w:szCs w:val="26"/>
              </w:rPr>
              <w:t>Eiropas Ekonomikas zonas finanšu instrumenta komitejas 2011.gada 13.janvārī apstiprināto noteikumu par Eiropas Ekonomikas zonas finanšu instrumenta ieviešanu 2009.—2014.gadā un Norvēģijas Ārlietu ministrijas 2011.gada 11.februārī apstiprināto noteikumu par Norvēģijas finanšu instrumenta ieviešanu 2009.—2014.gadā</w:t>
            </w:r>
            <w:r w:rsidR="00F06C54">
              <w:rPr>
                <w:rFonts w:ascii="Times New Roman" w:hAnsi="Times New Roman" w:cs="Times New Roman"/>
                <w:sz w:val="26"/>
                <w:szCs w:val="26"/>
              </w:rPr>
              <w:t xml:space="preserve"> 5.12 panta 2.punkta 2014.gada jūlija grozījumiem un  </w:t>
            </w:r>
            <w:r w:rsidR="00E611FD" w:rsidRPr="002805C0">
              <w:rPr>
                <w:rFonts w:ascii="Times New Roman" w:hAnsi="Times New Roman" w:cs="Times New Roman"/>
                <w:sz w:val="26"/>
                <w:szCs w:val="26"/>
              </w:rPr>
              <w:t>ņemot vērā, ka</w:t>
            </w:r>
            <w:r w:rsidR="006F75EE">
              <w:rPr>
                <w:rFonts w:ascii="Times New Roman" w:hAnsi="Times New Roman" w:cs="Times New Roman"/>
                <w:sz w:val="26"/>
                <w:szCs w:val="26"/>
              </w:rPr>
              <w:t xml:space="preserve">, </w:t>
            </w:r>
            <w:r w:rsidR="00E611FD" w:rsidRPr="002805C0">
              <w:rPr>
                <w:rFonts w:ascii="Times New Roman" w:hAnsi="Times New Roman" w:cs="Times New Roman"/>
                <w:sz w:val="26"/>
                <w:szCs w:val="26"/>
              </w:rPr>
              <w:t>pagarinot projektu</w:t>
            </w:r>
            <w:r w:rsidR="006F75EE">
              <w:rPr>
                <w:rFonts w:ascii="Times New Roman" w:hAnsi="Times New Roman" w:cs="Times New Roman"/>
                <w:sz w:val="26"/>
                <w:szCs w:val="26"/>
              </w:rPr>
              <w:t xml:space="preserve"> īstenošanas termiņu</w:t>
            </w:r>
            <w:r w:rsidR="00E611FD" w:rsidRPr="002805C0">
              <w:rPr>
                <w:rFonts w:ascii="Times New Roman" w:hAnsi="Times New Roman" w:cs="Times New Roman"/>
                <w:sz w:val="26"/>
                <w:szCs w:val="26"/>
              </w:rPr>
              <w:t xml:space="preserve"> tiek pagarināts arī programmas </w:t>
            </w:r>
            <w:r w:rsidR="0042296D" w:rsidRPr="00453755">
              <w:rPr>
                <w:rFonts w:ascii="Times New Roman" w:hAnsi="Times New Roman" w:cs="Times New Roman"/>
                <w:sz w:val="26"/>
                <w:szCs w:val="26"/>
              </w:rPr>
              <w:t>attiecināmības periods</w:t>
            </w:r>
            <w:r w:rsidR="00E611FD" w:rsidRPr="002805C0">
              <w:rPr>
                <w:rFonts w:ascii="Times New Roman" w:hAnsi="Times New Roman" w:cs="Times New Roman"/>
                <w:sz w:val="26"/>
                <w:szCs w:val="26"/>
              </w:rPr>
              <w:t>, maksimāli līdz 2017.gada 31.decembrim</w:t>
            </w:r>
            <w:r w:rsidR="00100773">
              <w:rPr>
                <w:rFonts w:ascii="Times New Roman" w:hAnsi="Times New Roman" w:cs="Times New Roman"/>
                <w:sz w:val="26"/>
                <w:szCs w:val="26"/>
              </w:rPr>
              <w:t>,</w:t>
            </w:r>
            <w:r w:rsidR="002805C0" w:rsidRPr="002805C0">
              <w:rPr>
                <w:rFonts w:ascii="Times New Roman" w:hAnsi="Times New Roman" w:cs="Times New Roman"/>
                <w:sz w:val="26"/>
                <w:szCs w:val="26"/>
              </w:rPr>
              <w:t xml:space="preserve"> tad </w:t>
            </w:r>
            <w:r w:rsidR="00E611FD" w:rsidRPr="002805C0">
              <w:rPr>
                <w:rFonts w:ascii="Times New Roman" w:hAnsi="Times New Roman" w:cs="Times New Roman"/>
                <w:sz w:val="26"/>
                <w:szCs w:val="26"/>
              </w:rPr>
              <w:t xml:space="preserve"> </w:t>
            </w:r>
            <w:r w:rsidR="003843F1" w:rsidRPr="002805C0">
              <w:rPr>
                <w:rFonts w:ascii="Times New Roman" w:hAnsi="Times New Roman" w:cs="Times New Roman"/>
                <w:sz w:val="26"/>
                <w:szCs w:val="26"/>
              </w:rPr>
              <w:t>noteikumu projekts paredz</w:t>
            </w:r>
            <w:r w:rsidR="002805C0" w:rsidRPr="002805C0">
              <w:rPr>
                <w:rFonts w:ascii="Times New Roman" w:hAnsi="Times New Roman" w:cs="Times New Roman"/>
                <w:sz w:val="26"/>
                <w:szCs w:val="26"/>
              </w:rPr>
              <w:t xml:space="preserve"> arī</w:t>
            </w:r>
            <w:r w:rsidRPr="002805C0">
              <w:rPr>
                <w:rFonts w:ascii="Times New Roman" w:hAnsi="Times New Roman" w:cs="Times New Roman"/>
                <w:sz w:val="26"/>
                <w:szCs w:val="26"/>
              </w:rPr>
              <w:t xml:space="preserve"> </w:t>
            </w:r>
            <w:r w:rsidR="003843F1" w:rsidRPr="002805C0">
              <w:rPr>
                <w:rFonts w:ascii="Times New Roman" w:hAnsi="Times New Roman" w:cs="Times New Roman"/>
                <w:sz w:val="26"/>
                <w:szCs w:val="26"/>
              </w:rPr>
              <w:t xml:space="preserve">izmaiņas </w:t>
            </w:r>
            <w:r w:rsidR="00EC687A" w:rsidRPr="002805C0">
              <w:rPr>
                <w:rFonts w:ascii="Times New Roman" w:hAnsi="Times New Roman" w:cs="Times New Roman"/>
                <w:sz w:val="26"/>
                <w:szCs w:val="26"/>
              </w:rPr>
              <w:t xml:space="preserve"> attiecībā uz programmas noslēguma </w:t>
            </w:r>
            <w:r w:rsidR="00EC687A" w:rsidRPr="002805C0">
              <w:rPr>
                <w:rFonts w:ascii="Times New Roman" w:hAnsi="Times New Roman" w:cs="Times New Roman"/>
                <w:sz w:val="26"/>
                <w:szCs w:val="26"/>
              </w:rPr>
              <w:lastRenderedPageBreak/>
              <w:t>pārskatu iesniegšanas termiņ</w:t>
            </w:r>
            <w:r w:rsidR="00123417" w:rsidRPr="002805C0">
              <w:rPr>
                <w:rFonts w:ascii="Times New Roman" w:hAnsi="Times New Roman" w:cs="Times New Roman"/>
                <w:sz w:val="26"/>
                <w:szCs w:val="26"/>
              </w:rPr>
              <w:t>iem</w:t>
            </w:r>
            <w:r w:rsidR="00453755">
              <w:rPr>
                <w:rFonts w:ascii="Times New Roman" w:hAnsi="Times New Roman" w:cs="Times New Roman"/>
                <w:sz w:val="26"/>
                <w:szCs w:val="26"/>
              </w:rPr>
              <w:t xml:space="preserve">, </w:t>
            </w:r>
            <w:r w:rsidR="00453755">
              <w:rPr>
                <w:rFonts w:ascii="Times New Roman" w:hAnsi="Times New Roman"/>
                <w:sz w:val="26"/>
                <w:szCs w:val="26"/>
              </w:rPr>
              <w:t>lai varētu nodrošināt donorvalstu prasības</w:t>
            </w:r>
            <w:r w:rsidR="00453755" w:rsidRPr="00DF3765">
              <w:rPr>
                <w:rFonts w:ascii="Times New Roman" w:hAnsi="Times New Roman"/>
                <w:sz w:val="26"/>
                <w:szCs w:val="26"/>
              </w:rPr>
              <w:t>.</w:t>
            </w:r>
            <w:r w:rsidR="00453755">
              <w:rPr>
                <w:rFonts w:ascii="Times New Roman" w:hAnsi="Times New Roman" w:cs="Times New Roman"/>
                <w:sz w:val="26"/>
                <w:szCs w:val="26"/>
              </w:rPr>
              <w:t xml:space="preserve"> </w:t>
            </w:r>
            <w:r w:rsidR="00CD44A9">
              <w:rPr>
                <w:rFonts w:ascii="Times New Roman" w:hAnsi="Times New Roman" w:cs="Times New Roman"/>
                <w:sz w:val="26"/>
                <w:szCs w:val="26"/>
              </w:rPr>
              <w:t xml:space="preserve">Tādejādi </w:t>
            </w:r>
            <w:r w:rsidR="003A1AFF">
              <w:rPr>
                <w:rFonts w:ascii="Times New Roman" w:hAnsi="Times New Roman" w:cs="Times New Roman"/>
                <w:sz w:val="26"/>
                <w:szCs w:val="26"/>
              </w:rPr>
              <w:t>noteikumu projekts paredz papildināt Noteikumu</w:t>
            </w:r>
            <w:r w:rsidR="00FD5818">
              <w:rPr>
                <w:rFonts w:ascii="Times New Roman" w:hAnsi="Times New Roman" w:cs="Times New Roman"/>
                <w:sz w:val="26"/>
                <w:szCs w:val="26"/>
              </w:rPr>
              <w:t xml:space="preserve"> 107.punktu </w:t>
            </w:r>
            <w:r w:rsidR="003A1AFF">
              <w:rPr>
                <w:rFonts w:ascii="Times New Roman" w:hAnsi="Times New Roman" w:cs="Times New Roman"/>
                <w:sz w:val="26"/>
                <w:szCs w:val="26"/>
              </w:rPr>
              <w:t xml:space="preserve"> ar </w:t>
            </w:r>
            <w:r w:rsidR="00FD5818">
              <w:rPr>
                <w:rFonts w:ascii="Times New Roman" w:hAnsi="Times New Roman" w:cs="Times New Roman"/>
                <w:sz w:val="26"/>
                <w:szCs w:val="26"/>
              </w:rPr>
              <w:t>apakš</w:t>
            </w:r>
            <w:r w:rsidR="003A1AFF">
              <w:rPr>
                <w:rFonts w:ascii="Times New Roman" w:hAnsi="Times New Roman" w:cs="Times New Roman"/>
                <w:sz w:val="26"/>
                <w:szCs w:val="26"/>
              </w:rPr>
              <w:t>punktu, kas paredz</w:t>
            </w:r>
            <w:r w:rsidR="0029166A">
              <w:rPr>
                <w:rFonts w:ascii="Times New Roman" w:hAnsi="Times New Roman" w:cs="Times New Roman"/>
                <w:sz w:val="26"/>
                <w:szCs w:val="26"/>
              </w:rPr>
              <w:t xml:space="preserve"> termiņu, </w:t>
            </w:r>
            <w:r w:rsidR="003A1AFF">
              <w:rPr>
                <w:rFonts w:ascii="Times New Roman" w:hAnsi="Times New Roman" w:cs="Times New Roman"/>
                <w:sz w:val="26"/>
                <w:szCs w:val="26"/>
              </w:rPr>
              <w:t xml:space="preserve">t.i., 2018.gada 31.janvāris kādā </w:t>
            </w:r>
            <w:r w:rsidR="00A67700">
              <w:rPr>
                <w:rFonts w:ascii="Times New Roman" w:hAnsi="Times New Roman" w:cs="Times New Roman"/>
                <w:sz w:val="26"/>
                <w:szCs w:val="26"/>
              </w:rPr>
              <w:t xml:space="preserve">programmas apsaimniekotājam un aģentūrai </w:t>
            </w:r>
            <w:r w:rsidR="003A1AFF">
              <w:rPr>
                <w:rFonts w:ascii="Times New Roman" w:hAnsi="Times New Roman" w:cs="Times New Roman"/>
                <w:sz w:val="26"/>
                <w:szCs w:val="26"/>
              </w:rPr>
              <w:t xml:space="preserve">ir </w:t>
            </w:r>
            <w:r w:rsidR="00A67700">
              <w:rPr>
                <w:rFonts w:ascii="Times New Roman" w:hAnsi="Times New Roman" w:cs="Times New Roman"/>
                <w:sz w:val="26"/>
                <w:szCs w:val="26"/>
              </w:rPr>
              <w:t xml:space="preserve">jāsagatavo un </w:t>
            </w:r>
            <w:r w:rsidR="003A1AFF">
              <w:rPr>
                <w:rFonts w:ascii="Times New Roman" w:hAnsi="Times New Roman" w:cs="Times New Roman"/>
                <w:sz w:val="26"/>
                <w:szCs w:val="26"/>
              </w:rPr>
              <w:t xml:space="preserve">jāiesniedz </w:t>
            </w:r>
            <w:r w:rsidR="0029166A">
              <w:rPr>
                <w:rFonts w:ascii="Times New Roman" w:hAnsi="Times New Roman" w:cs="Times New Roman"/>
                <w:sz w:val="26"/>
                <w:szCs w:val="26"/>
              </w:rPr>
              <w:t xml:space="preserve"> sertifikācijas iestādē </w:t>
            </w:r>
            <w:r w:rsidR="003A1AFF">
              <w:rPr>
                <w:rFonts w:ascii="Times New Roman" w:hAnsi="Times New Roman" w:cs="Times New Roman"/>
                <w:sz w:val="26"/>
                <w:szCs w:val="26"/>
              </w:rPr>
              <w:t>programmas noslēguma p</w:t>
            </w:r>
            <w:r w:rsidR="00A67700">
              <w:rPr>
                <w:rFonts w:ascii="Times New Roman" w:hAnsi="Times New Roman" w:cs="Times New Roman"/>
                <w:sz w:val="26"/>
                <w:szCs w:val="26"/>
              </w:rPr>
              <w:t>ārskats</w:t>
            </w:r>
            <w:r w:rsidR="00F31101" w:rsidRPr="008A6DCE">
              <w:rPr>
                <w:rFonts w:ascii="Times New Roman" w:eastAsia="Calibri" w:hAnsi="Times New Roman" w:cs="Times New Roman"/>
                <w:sz w:val="26"/>
                <w:szCs w:val="26"/>
              </w:rPr>
              <w:t>,  ja projekta īstenošanas termiņš ir pagarināts atbilstoši donorvalstu lēmumam</w:t>
            </w:r>
            <w:r w:rsidR="00F31101" w:rsidRPr="008A6DCE">
              <w:rPr>
                <w:rFonts w:ascii="Times New Roman" w:hAnsi="Times New Roman" w:cs="Times New Roman"/>
                <w:sz w:val="26"/>
                <w:szCs w:val="26"/>
              </w:rPr>
              <w:t>.</w:t>
            </w:r>
            <w:r w:rsidR="00F31101" w:rsidRPr="008A6DCE">
              <w:rPr>
                <w:rFonts w:ascii="Times New Roman" w:eastAsia="Calibri" w:hAnsi="Times New Roman" w:cs="Times New Roman"/>
                <w:sz w:val="26"/>
                <w:szCs w:val="26"/>
              </w:rPr>
              <w:t xml:space="preserve"> </w:t>
            </w:r>
            <w:r w:rsidR="00FD5818" w:rsidRPr="008A6DCE">
              <w:rPr>
                <w:rFonts w:ascii="Times New Roman" w:eastAsia="Calibri" w:hAnsi="Times New Roman" w:cs="Times New Roman"/>
                <w:sz w:val="26"/>
                <w:szCs w:val="26"/>
              </w:rPr>
              <w:t>Kā arī noteikumu projekts</w:t>
            </w:r>
            <w:r w:rsidR="00FD5818">
              <w:rPr>
                <w:rFonts w:ascii="Times New Roman" w:eastAsia="Calibri" w:hAnsi="Times New Roman" w:cs="Times New Roman"/>
                <w:sz w:val="26"/>
                <w:szCs w:val="26"/>
              </w:rPr>
              <w:t xml:space="preserve"> paredz papildināt Noteikumu 113.punktu ar apakšpunktu, kas nosaka termiņu, t.i., 2018.gada 28.februāris kādā sertifikācijas iestāde iesniedz FIB programmas noslēguma pārskatu, ja ir </w:t>
            </w:r>
            <w:r w:rsidR="00FD5818">
              <w:rPr>
                <w:rFonts w:ascii="Times New Roman" w:hAnsi="Times New Roman" w:cs="Times New Roman"/>
                <w:sz w:val="26"/>
                <w:szCs w:val="26"/>
              </w:rPr>
              <w:t xml:space="preserve">saņemts </w:t>
            </w:r>
            <w:r w:rsidR="00FD5818" w:rsidRPr="006F75EE">
              <w:rPr>
                <w:rFonts w:ascii="Times New Roman" w:eastAsia="Calibri" w:hAnsi="Times New Roman" w:cs="Times New Roman"/>
                <w:sz w:val="26"/>
                <w:szCs w:val="26"/>
              </w:rPr>
              <w:t xml:space="preserve"> donorvalstu lēmums par projekta īstenošanas termiņa pagarināšanu.</w:t>
            </w:r>
          </w:p>
          <w:p w14:paraId="3C983A06" w14:textId="04426C05" w:rsidR="00EC687A" w:rsidRPr="00F31101" w:rsidRDefault="00F06C54" w:rsidP="00F31101">
            <w:pPr>
              <w:widowControl w:val="0"/>
              <w:tabs>
                <w:tab w:val="left" w:pos="3686"/>
              </w:tabs>
              <w:spacing w:line="240" w:lineRule="auto"/>
              <w:ind w:left="143" w:right="141"/>
              <w:jc w:val="both"/>
              <w:rPr>
                <w:rFonts w:ascii="Times New Roman" w:eastAsia="Calibri" w:hAnsi="Times New Roman" w:cs="Times New Roman"/>
                <w:sz w:val="26"/>
                <w:szCs w:val="26"/>
              </w:rPr>
            </w:pPr>
            <w:r w:rsidRPr="004F7007">
              <w:rPr>
                <w:rFonts w:ascii="Times New Roman" w:eastAsia="Calibri" w:hAnsi="Times New Roman" w:cs="Times New Roman"/>
                <w:sz w:val="26"/>
                <w:szCs w:val="26"/>
              </w:rPr>
              <w:t xml:space="preserve">Kā arī </w:t>
            </w:r>
            <w:r w:rsidR="0029166A" w:rsidRPr="004F7007">
              <w:rPr>
                <w:rFonts w:ascii="Times New Roman" w:eastAsia="Calibri" w:hAnsi="Times New Roman" w:cs="Times New Roman"/>
                <w:sz w:val="26"/>
                <w:szCs w:val="26"/>
              </w:rPr>
              <w:t>noteikumu projekts paredz</w:t>
            </w:r>
            <w:r w:rsidR="00A214CF" w:rsidRPr="004F7007">
              <w:rPr>
                <w:rFonts w:ascii="Times New Roman" w:eastAsia="Calibri" w:hAnsi="Times New Roman" w:cs="Times New Roman"/>
                <w:sz w:val="26"/>
                <w:szCs w:val="26"/>
              </w:rPr>
              <w:t xml:space="preserve"> </w:t>
            </w:r>
            <w:r w:rsidR="0042296D" w:rsidRPr="00453755">
              <w:rPr>
                <w:rFonts w:ascii="Times New Roman" w:eastAsia="Calibri" w:hAnsi="Times New Roman" w:cs="Times New Roman"/>
                <w:sz w:val="26"/>
                <w:szCs w:val="26"/>
              </w:rPr>
              <w:t xml:space="preserve">precizēt </w:t>
            </w:r>
            <w:r w:rsidR="00A214CF" w:rsidRPr="00453755">
              <w:rPr>
                <w:rFonts w:ascii="Times New Roman" w:eastAsia="Calibri" w:hAnsi="Times New Roman" w:cs="Times New Roman"/>
                <w:sz w:val="26"/>
                <w:szCs w:val="26"/>
              </w:rPr>
              <w:t>Noteikumu 110.punktu paredz</w:t>
            </w:r>
            <w:r w:rsidR="0042296D" w:rsidRPr="00453755">
              <w:rPr>
                <w:rFonts w:ascii="Times New Roman" w:eastAsia="Calibri" w:hAnsi="Times New Roman" w:cs="Times New Roman"/>
                <w:sz w:val="26"/>
                <w:szCs w:val="26"/>
              </w:rPr>
              <w:t>ot</w:t>
            </w:r>
            <w:r w:rsidR="00A214CF" w:rsidRPr="00453755">
              <w:rPr>
                <w:rFonts w:ascii="Times New Roman" w:eastAsia="Calibri" w:hAnsi="Times New Roman" w:cs="Times New Roman"/>
                <w:sz w:val="26"/>
                <w:szCs w:val="26"/>
              </w:rPr>
              <w:t>, ka sagatavojot</w:t>
            </w:r>
            <w:r w:rsidR="00A214CF" w:rsidRPr="004F7007">
              <w:rPr>
                <w:rFonts w:ascii="Times New Roman" w:eastAsia="Calibri" w:hAnsi="Times New Roman" w:cs="Times New Roman"/>
                <w:sz w:val="26"/>
                <w:szCs w:val="26"/>
              </w:rPr>
              <w:t xml:space="preserve"> programmas noslēguma pārskatu, administratīvo izdevumu, attiecināmo izdevumu un veikto maksājumu kopsavilkumu programmas apsaimniekotājs vai aģentūra iesniedz sertifikācijas iestādē līdz 2017.gada 10.maijam, </w:t>
            </w:r>
            <w:r w:rsidR="00A214CF" w:rsidRPr="008A6DCE">
              <w:rPr>
                <w:rFonts w:ascii="Times New Roman" w:eastAsia="Calibri" w:hAnsi="Times New Roman" w:cs="Times New Roman"/>
                <w:sz w:val="26"/>
                <w:szCs w:val="26"/>
              </w:rPr>
              <w:t xml:space="preserve">bet,  </w:t>
            </w:r>
            <w:r w:rsidR="00F31101" w:rsidRPr="008A6DCE">
              <w:rPr>
                <w:rFonts w:ascii="Times New Roman" w:eastAsia="Calibri" w:hAnsi="Times New Roman" w:cs="Times New Roman"/>
                <w:sz w:val="26"/>
                <w:szCs w:val="26"/>
              </w:rPr>
              <w:t xml:space="preserve">ja projekta īstenošanas termiņš ir pagarināts atbilstoši donorvalstu lēmumam </w:t>
            </w:r>
            <w:r w:rsidR="00A214CF" w:rsidRPr="008A6DCE">
              <w:rPr>
                <w:rFonts w:ascii="Times New Roman" w:hAnsi="Times New Roman" w:cs="Times New Roman"/>
                <w:sz w:val="26"/>
                <w:szCs w:val="26"/>
              </w:rPr>
              <w:t>līdz 2018.gada 10.janvārim.</w:t>
            </w:r>
            <w:r w:rsidR="00A214CF" w:rsidRPr="00F31101">
              <w:rPr>
                <w:rFonts w:ascii="Times New Roman" w:hAnsi="Times New Roman" w:cs="Times New Roman"/>
                <w:b/>
                <w:sz w:val="26"/>
                <w:szCs w:val="26"/>
              </w:rPr>
              <w:t xml:space="preserve"> </w:t>
            </w:r>
            <w:r w:rsidR="00E92B07" w:rsidRPr="004F7007">
              <w:rPr>
                <w:rFonts w:ascii="Times New Roman" w:hAnsi="Times New Roman" w:cs="Times New Roman"/>
                <w:sz w:val="26"/>
                <w:szCs w:val="26"/>
              </w:rPr>
              <w:t xml:space="preserve">Papildus </w:t>
            </w:r>
            <w:r w:rsidR="00A214CF" w:rsidRPr="004F7007">
              <w:rPr>
                <w:rFonts w:ascii="Times New Roman" w:hAnsi="Times New Roman" w:cs="Times New Roman"/>
                <w:sz w:val="26"/>
                <w:szCs w:val="26"/>
              </w:rPr>
              <w:t xml:space="preserve">arī noteikumu projekts paredz </w:t>
            </w:r>
            <w:r w:rsidR="00E92B07" w:rsidRPr="004F7007">
              <w:rPr>
                <w:rFonts w:ascii="Times New Roman" w:hAnsi="Times New Roman" w:cs="Times New Roman"/>
                <w:sz w:val="26"/>
                <w:szCs w:val="26"/>
              </w:rPr>
              <w:t xml:space="preserve">pagarināt </w:t>
            </w:r>
            <w:r w:rsidR="00A214CF" w:rsidRPr="004F7007">
              <w:rPr>
                <w:rFonts w:ascii="Times New Roman" w:eastAsia="Calibri" w:hAnsi="Times New Roman" w:cs="Times New Roman"/>
                <w:sz w:val="26"/>
                <w:szCs w:val="26"/>
              </w:rPr>
              <w:t>N</w:t>
            </w:r>
            <w:r w:rsidR="0029166A" w:rsidRPr="004F7007">
              <w:rPr>
                <w:rFonts w:ascii="Times New Roman" w:eastAsia="Calibri" w:hAnsi="Times New Roman" w:cs="Times New Roman"/>
                <w:sz w:val="26"/>
                <w:szCs w:val="26"/>
              </w:rPr>
              <w:t xml:space="preserve">oteikumu 107.4.apakšpuktā </w:t>
            </w:r>
            <w:r w:rsidR="00A214CF" w:rsidRPr="004F7007">
              <w:rPr>
                <w:rFonts w:ascii="Times New Roman" w:eastAsia="Calibri" w:hAnsi="Times New Roman" w:cs="Times New Roman"/>
                <w:sz w:val="26"/>
                <w:szCs w:val="26"/>
              </w:rPr>
              <w:t xml:space="preserve">noteikto </w:t>
            </w:r>
            <w:r w:rsidR="00280363" w:rsidRPr="004F7007">
              <w:rPr>
                <w:rFonts w:ascii="Times New Roman" w:eastAsia="Calibri" w:hAnsi="Times New Roman" w:cs="Times New Roman"/>
                <w:sz w:val="26"/>
                <w:szCs w:val="26"/>
              </w:rPr>
              <w:t xml:space="preserve">programmas noslēguma maksājumu pārskata iesniegšanas </w:t>
            </w:r>
            <w:r w:rsidR="00A214CF" w:rsidRPr="004F7007">
              <w:rPr>
                <w:rFonts w:ascii="Times New Roman" w:eastAsia="Calibri" w:hAnsi="Times New Roman" w:cs="Times New Roman"/>
                <w:sz w:val="26"/>
                <w:szCs w:val="26"/>
              </w:rPr>
              <w:t xml:space="preserve">termiņu </w:t>
            </w:r>
            <w:r w:rsidRPr="004F7007">
              <w:rPr>
                <w:rFonts w:ascii="Times New Roman" w:eastAsia="Calibri" w:hAnsi="Times New Roman" w:cs="Times New Roman"/>
                <w:sz w:val="26"/>
                <w:szCs w:val="26"/>
              </w:rPr>
              <w:t xml:space="preserve">līdz </w:t>
            </w:r>
            <w:r w:rsidR="0029166A" w:rsidRPr="004F7007">
              <w:rPr>
                <w:rFonts w:ascii="Times New Roman" w:eastAsia="Calibri" w:hAnsi="Times New Roman" w:cs="Times New Roman"/>
                <w:sz w:val="26"/>
                <w:szCs w:val="26"/>
              </w:rPr>
              <w:t xml:space="preserve"> 2017.gada 31.maij</w:t>
            </w:r>
            <w:r w:rsidRPr="004F7007">
              <w:rPr>
                <w:rFonts w:ascii="Times New Roman" w:eastAsia="Calibri" w:hAnsi="Times New Roman" w:cs="Times New Roman"/>
                <w:sz w:val="26"/>
                <w:szCs w:val="26"/>
              </w:rPr>
              <w:t>am</w:t>
            </w:r>
            <w:r w:rsidR="00A214CF" w:rsidRPr="004F7007">
              <w:rPr>
                <w:rFonts w:ascii="Times New Roman" w:eastAsia="Calibri" w:hAnsi="Times New Roman" w:cs="Times New Roman"/>
                <w:sz w:val="26"/>
                <w:szCs w:val="26"/>
              </w:rPr>
              <w:t xml:space="preserve"> un 113.4.apakšpunktā </w:t>
            </w:r>
            <w:r w:rsidR="00FD5818" w:rsidRPr="004F7007">
              <w:rPr>
                <w:rFonts w:ascii="Times New Roman" w:eastAsia="Calibri" w:hAnsi="Times New Roman" w:cs="Times New Roman"/>
                <w:sz w:val="26"/>
                <w:szCs w:val="26"/>
              </w:rPr>
              <w:t xml:space="preserve">noteikto termiņu </w:t>
            </w:r>
            <w:r w:rsidR="00A214CF" w:rsidRPr="004F7007">
              <w:rPr>
                <w:rFonts w:ascii="Times New Roman" w:eastAsia="Calibri" w:hAnsi="Times New Roman" w:cs="Times New Roman"/>
                <w:sz w:val="26"/>
                <w:szCs w:val="26"/>
              </w:rPr>
              <w:t>līdz 2017.gada 30.jūnijam</w:t>
            </w:r>
            <w:r w:rsidR="00950A3E" w:rsidRPr="00950A3E">
              <w:rPr>
                <w:rFonts w:ascii="Times New Roman" w:eastAsia="Calibri" w:hAnsi="Times New Roman" w:cs="Times New Roman"/>
              </w:rPr>
              <w:t>.</w:t>
            </w:r>
            <w:r w:rsidR="00950A3E">
              <w:rPr>
                <w:rFonts w:ascii="Times New Roman" w:eastAsia="Calibri" w:hAnsi="Times New Roman" w:cs="Times New Roman"/>
              </w:rPr>
              <w:t xml:space="preserve"> </w:t>
            </w:r>
          </w:p>
          <w:p w14:paraId="5EDF1DA6" w14:textId="466144FE" w:rsidR="000F561E" w:rsidRPr="00210AC4" w:rsidRDefault="001A0615" w:rsidP="00061322">
            <w:pPr>
              <w:pStyle w:val="Heading3"/>
              <w:shd w:val="clear" w:color="auto" w:fill="FFFFFF"/>
              <w:tabs>
                <w:tab w:val="left" w:pos="975"/>
              </w:tabs>
              <w:spacing w:before="120" w:beforeAutospacing="0" w:after="0" w:afterAutospacing="0"/>
              <w:ind w:right="57"/>
              <w:jc w:val="both"/>
              <w:rPr>
                <w:sz w:val="26"/>
                <w:szCs w:val="26"/>
              </w:rPr>
            </w:pPr>
            <w:r w:rsidRPr="00210AC4" w:rsidDel="001A0615">
              <w:rPr>
                <w:sz w:val="26"/>
                <w:szCs w:val="26"/>
              </w:rPr>
              <w:t xml:space="preserve"> </w:t>
            </w:r>
            <w:r w:rsidR="00061322">
              <w:rPr>
                <w:sz w:val="26"/>
                <w:szCs w:val="26"/>
              </w:rPr>
              <w:tab/>
            </w:r>
          </w:p>
        </w:tc>
      </w:tr>
      <w:tr w:rsidR="00DA6C86" w:rsidRPr="00D748C7" w14:paraId="5EDF1DAB" w14:textId="77777777" w:rsidTr="00682E61">
        <w:trPr>
          <w:trHeight w:val="476"/>
        </w:trPr>
        <w:tc>
          <w:tcPr>
            <w:tcW w:w="222" w:type="pct"/>
          </w:tcPr>
          <w:p w14:paraId="5EDF1DA8" w14:textId="3E410F76" w:rsidR="00DA6C86" w:rsidRPr="00D748C7" w:rsidRDefault="00DA6C86" w:rsidP="00B50DCF">
            <w:pPr>
              <w:pStyle w:val="naiskr"/>
              <w:tabs>
                <w:tab w:val="left" w:pos="3686"/>
              </w:tabs>
              <w:spacing w:before="0" w:beforeAutospacing="0" w:after="0" w:afterAutospacing="0"/>
              <w:ind w:right="57"/>
              <w:jc w:val="center"/>
              <w:rPr>
                <w:sz w:val="26"/>
                <w:szCs w:val="26"/>
              </w:rPr>
            </w:pPr>
            <w:r w:rsidRPr="00D748C7">
              <w:rPr>
                <w:sz w:val="26"/>
                <w:szCs w:val="26"/>
              </w:rPr>
              <w:lastRenderedPageBreak/>
              <w:t>3.</w:t>
            </w:r>
          </w:p>
        </w:tc>
        <w:tc>
          <w:tcPr>
            <w:tcW w:w="1791" w:type="pct"/>
          </w:tcPr>
          <w:p w14:paraId="5EDF1DA9" w14:textId="77777777" w:rsidR="00DA6C86" w:rsidRPr="00D748C7" w:rsidRDefault="00DA6C86" w:rsidP="00B50DCF">
            <w:pPr>
              <w:pStyle w:val="naiskr"/>
              <w:tabs>
                <w:tab w:val="left" w:pos="3686"/>
              </w:tabs>
              <w:spacing w:before="0" w:beforeAutospacing="0" w:after="0" w:afterAutospacing="0"/>
              <w:ind w:left="57" w:right="57"/>
              <w:rPr>
                <w:sz w:val="26"/>
                <w:szCs w:val="26"/>
              </w:rPr>
            </w:pPr>
            <w:r w:rsidRPr="00D748C7">
              <w:rPr>
                <w:sz w:val="26"/>
                <w:szCs w:val="26"/>
              </w:rPr>
              <w:t>Projekta izstrādē iesaistītās institūcijas</w:t>
            </w:r>
          </w:p>
        </w:tc>
        <w:tc>
          <w:tcPr>
            <w:tcW w:w="2987" w:type="pct"/>
          </w:tcPr>
          <w:p w14:paraId="5EDF1DAA" w14:textId="5E7CD2F6" w:rsidR="00DA6C86" w:rsidRPr="00D748C7" w:rsidRDefault="001F0072" w:rsidP="00B50DCF">
            <w:pPr>
              <w:tabs>
                <w:tab w:val="left" w:pos="3686"/>
              </w:tabs>
              <w:spacing w:before="120" w:after="120" w:line="240" w:lineRule="auto"/>
              <w:ind w:left="57" w:right="57"/>
              <w:jc w:val="both"/>
              <w:rPr>
                <w:rFonts w:ascii="Times New Roman" w:hAnsi="Times New Roman" w:cs="Times New Roman"/>
                <w:sz w:val="26"/>
                <w:szCs w:val="26"/>
              </w:rPr>
            </w:pPr>
            <w:r w:rsidRPr="00D748C7">
              <w:rPr>
                <w:rFonts w:ascii="Times New Roman" w:hAnsi="Times New Roman" w:cs="Times New Roman"/>
                <w:sz w:val="26"/>
                <w:szCs w:val="26"/>
              </w:rPr>
              <w:t>Finanšu</w:t>
            </w:r>
            <w:r w:rsidR="003D38D2" w:rsidRPr="00D748C7">
              <w:rPr>
                <w:rFonts w:ascii="Times New Roman" w:hAnsi="Times New Roman" w:cs="Times New Roman"/>
                <w:sz w:val="26"/>
                <w:szCs w:val="26"/>
              </w:rPr>
              <w:t xml:space="preserve"> ministrija</w:t>
            </w:r>
            <w:r w:rsidR="0026304A" w:rsidRPr="00D21AB5">
              <w:rPr>
                <w:rFonts w:ascii="Times New Roman" w:hAnsi="Times New Roman" w:cs="Times New Roman"/>
                <w:sz w:val="25"/>
                <w:szCs w:val="25"/>
              </w:rPr>
              <w:t xml:space="preserve"> un Valsts kase</w:t>
            </w:r>
          </w:p>
        </w:tc>
      </w:tr>
      <w:tr w:rsidR="00DA6C86" w:rsidRPr="00D748C7" w14:paraId="5EDF1DB0" w14:textId="77777777" w:rsidTr="00682E61">
        <w:tc>
          <w:tcPr>
            <w:tcW w:w="222" w:type="pct"/>
          </w:tcPr>
          <w:p w14:paraId="5EDF1DAC" w14:textId="77777777" w:rsidR="00DA6C86" w:rsidRPr="00D748C7" w:rsidRDefault="00DA6C86" w:rsidP="00B50DCF">
            <w:pPr>
              <w:pStyle w:val="naiskr"/>
              <w:tabs>
                <w:tab w:val="left" w:pos="3686"/>
              </w:tabs>
              <w:spacing w:before="0" w:beforeAutospacing="0" w:after="0" w:afterAutospacing="0"/>
              <w:ind w:right="57"/>
              <w:jc w:val="center"/>
              <w:rPr>
                <w:sz w:val="26"/>
                <w:szCs w:val="26"/>
              </w:rPr>
            </w:pPr>
            <w:r w:rsidRPr="00D748C7">
              <w:rPr>
                <w:sz w:val="26"/>
                <w:szCs w:val="26"/>
              </w:rPr>
              <w:t>4.</w:t>
            </w:r>
          </w:p>
        </w:tc>
        <w:tc>
          <w:tcPr>
            <w:tcW w:w="1791" w:type="pct"/>
          </w:tcPr>
          <w:p w14:paraId="5EDF1DAD" w14:textId="77777777" w:rsidR="00DA6C86" w:rsidRPr="00D748C7" w:rsidRDefault="00DA6C86" w:rsidP="00B50DCF">
            <w:pPr>
              <w:pStyle w:val="naiskr"/>
              <w:tabs>
                <w:tab w:val="left" w:pos="3686"/>
              </w:tabs>
              <w:spacing w:before="0" w:beforeAutospacing="0" w:after="0" w:afterAutospacing="0"/>
              <w:ind w:left="57" w:right="57"/>
              <w:rPr>
                <w:sz w:val="26"/>
                <w:szCs w:val="26"/>
              </w:rPr>
            </w:pPr>
            <w:r w:rsidRPr="00D748C7">
              <w:rPr>
                <w:sz w:val="26"/>
                <w:szCs w:val="26"/>
              </w:rPr>
              <w:t>Cita informācija</w:t>
            </w:r>
          </w:p>
        </w:tc>
        <w:tc>
          <w:tcPr>
            <w:tcW w:w="2987" w:type="pct"/>
          </w:tcPr>
          <w:p w14:paraId="5EDF1DAF" w14:textId="47C94749" w:rsidR="00E74E50" w:rsidRPr="00D748C7" w:rsidRDefault="001F0072" w:rsidP="00B50DCF">
            <w:pPr>
              <w:pStyle w:val="naiskr"/>
              <w:tabs>
                <w:tab w:val="left" w:pos="3686"/>
              </w:tabs>
              <w:spacing w:before="0" w:beforeAutospacing="0" w:after="0" w:afterAutospacing="0"/>
              <w:ind w:left="57" w:right="57"/>
              <w:rPr>
                <w:sz w:val="26"/>
                <w:szCs w:val="26"/>
              </w:rPr>
            </w:pPr>
            <w:r w:rsidRPr="00D748C7">
              <w:rPr>
                <w:sz w:val="26"/>
                <w:szCs w:val="26"/>
              </w:rPr>
              <w:t>Nav.</w:t>
            </w:r>
          </w:p>
        </w:tc>
      </w:tr>
    </w:tbl>
    <w:p w14:paraId="69AA53E4" w14:textId="77777777" w:rsidR="00061322" w:rsidRPr="00D748C7" w:rsidRDefault="00061322" w:rsidP="00B50DCF">
      <w:pPr>
        <w:tabs>
          <w:tab w:val="left" w:pos="3686"/>
        </w:tabs>
        <w:spacing w:after="0" w:line="240" w:lineRule="auto"/>
        <w:rPr>
          <w:rFonts w:ascii="Times New Roman" w:hAnsi="Times New Roman" w:cs="Times New Roman"/>
          <w:sz w:val="26"/>
          <w:szCs w:val="26"/>
        </w:rPr>
      </w:pPr>
    </w:p>
    <w:tbl>
      <w:tblPr>
        <w:tblStyle w:val="TableGrid"/>
        <w:tblW w:w="9356" w:type="dxa"/>
        <w:tblInd w:w="-147" w:type="dxa"/>
        <w:tblLook w:val="04A0" w:firstRow="1" w:lastRow="0" w:firstColumn="1" w:lastColumn="0" w:noHBand="0" w:noVBand="1"/>
      </w:tblPr>
      <w:tblGrid>
        <w:gridCol w:w="426"/>
        <w:gridCol w:w="3402"/>
        <w:gridCol w:w="5528"/>
      </w:tblGrid>
      <w:tr w:rsidR="00F56EA8" w:rsidRPr="00D748C7" w14:paraId="465534C7" w14:textId="77777777" w:rsidTr="00FE7BB4">
        <w:tc>
          <w:tcPr>
            <w:tcW w:w="9356" w:type="dxa"/>
            <w:gridSpan w:val="3"/>
          </w:tcPr>
          <w:p w14:paraId="5F4033EE" w14:textId="77777777" w:rsidR="00F56EA8" w:rsidRPr="00F93185" w:rsidRDefault="00F56EA8" w:rsidP="00F56EA8">
            <w:pPr>
              <w:ind w:right="57"/>
              <w:jc w:val="center"/>
              <w:rPr>
                <w:rFonts w:ascii="Times New Roman" w:eastAsia="Times New Roman" w:hAnsi="Times New Roman" w:cs="Times New Roman"/>
                <w:b/>
                <w:sz w:val="26"/>
                <w:szCs w:val="26"/>
              </w:rPr>
            </w:pPr>
            <w:r w:rsidRPr="00F93185">
              <w:rPr>
                <w:rFonts w:ascii="Times New Roman" w:eastAsia="Times New Roman" w:hAnsi="Times New Roman" w:cs="Times New Roman"/>
                <w:b/>
                <w:sz w:val="26"/>
                <w:szCs w:val="26"/>
              </w:rPr>
              <w:t>II. Tiesību akta projekta ietekme uz sabiedrību, tautsaimniecības attīstību</w:t>
            </w:r>
          </w:p>
          <w:p w14:paraId="33079E6B" w14:textId="3D150A8D" w:rsidR="00F56EA8" w:rsidRPr="00F93185" w:rsidRDefault="00F56EA8" w:rsidP="00F56EA8">
            <w:pPr>
              <w:jc w:val="center"/>
              <w:rPr>
                <w:rFonts w:ascii="Times New Roman" w:hAnsi="Times New Roman" w:cs="Times New Roman"/>
                <w:sz w:val="26"/>
                <w:szCs w:val="26"/>
              </w:rPr>
            </w:pPr>
            <w:r w:rsidRPr="00F93185">
              <w:rPr>
                <w:rFonts w:ascii="Times New Roman" w:eastAsia="Times New Roman" w:hAnsi="Times New Roman" w:cs="Times New Roman"/>
                <w:b/>
                <w:sz w:val="26"/>
                <w:szCs w:val="26"/>
              </w:rPr>
              <w:t>un administratīvo slogu</w:t>
            </w:r>
          </w:p>
        </w:tc>
      </w:tr>
      <w:tr w:rsidR="00F56EA8" w:rsidRPr="00D748C7" w14:paraId="7AD61D21" w14:textId="77777777" w:rsidTr="00FE7BB4">
        <w:tc>
          <w:tcPr>
            <w:tcW w:w="426" w:type="dxa"/>
          </w:tcPr>
          <w:p w14:paraId="4DD6A230" w14:textId="03C8F735" w:rsidR="00F56EA8" w:rsidRPr="00F93185" w:rsidRDefault="00F56EA8" w:rsidP="00F56EA8">
            <w:pPr>
              <w:rPr>
                <w:rFonts w:ascii="Times New Roman" w:hAnsi="Times New Roman" w:cs="Times New Roman"/>
                <w:sz w:val="26"/>
                <w:szCs w:val="26"/>
              </w:rPr>
            </w:pPr>
            <w:r w:rsidRPr="00F93185">
              <w:rPr>
                <w:rFonts w:ascii="Times New Roman" w:eastAsia="Times New Roman" w:hAnsi="Times New Roman" w:cs="Times New Roman"/>
                <w:sz w:val="26"/>
                <w:szCs w:val="26"/>
              </w:rPr>
              <w:t>1.</w:t>
            </w:r>
          </w:p>
        </w:tc>
        <w:tc>
          <w:tcPr>
            <w:tcW w:w="3402" w:type="dxa"/>
          </w:tcPr>
          <w:p w14:paraId="3E18FADB" w14:textId="4FC06340" w:rsidR="00F56EA8" w:rsidRPr="00F93185" w:rsidRDefault="00F56EA8" w:rsidP="00F56EA8">
            <w:pPr>
              <w:rPr>
                <w:rFonts w:ascii="Times New Roman" w:hAnsi="Times New Roman" w:cs="Times New Roman"/>
                <w:sz w:val="26"/>
                <w:szCs w:val="26"/>
              </w:rPr>
            </w:pPr>
            <w:r w:rsidRPr="00F93185">
              <w:rPr>
                <w:rFonts w:ascii="Times New Roman" w:eastAsia="Times New Roman" w:hAnsi="Times New Roman" w:cs="Times New Roman"/>
                <w:sz w:val="26"/>
                <w:szCs w:val="26"/>
              </w:rPr>
              <w:t>Sabiedrības mērķgrupas, kuras tiesiskais regulējums ietekmē vai varētu ietekmēt</w:t>
            </w:r>
          </w:p>
        </w:tc>
        <w:tc>
          <w:tcPr>
            <w:tcW w:w="5528" w:type="dxa"/>
          </w:tcPr>
          <w:p w14:paraId="5F5C8138" w14:textId="7B769F26" w:rsidR="00F56EA8" w:rsidRPr="00F93185" w:rsidRDefault="001568B8" w:rsidP="00D73FFF">
            <w:pPr>
              <w:ind w:left="57" w:right="57"/>
              <w:jc w:val="both"/>
              <w:rPr>
                <w:rFonts w:ascii="Times New Roman" w:hAnsi="Times New Roman" w:cs="Times New Roman"/>
                <w:sz w:val="26"/>
                <w:szCs w:val="26"/>
              </w:rPr>
            </w:pPr>
            <w:r w:rsidRPr="00F93185">
              <w:rPr>
                <w:rFonts w:ascii="Times New Roman" w:hAnsi="Times New Roman" w:cs="Times New Roman"/>
                <w:sz w:val="26"/>
                <w:szCs w:val="26"/>
              </w:rPr>
              <w:t>Līdzfinansējuma saņēmēji</w:t>
            </w:r>
            <w:r w:rsidR="00D73FFF" w:rsidRPr="00F93185">
              <w:rPr>
                <w:rFonts w:ascii="Times New Roman" w:hAnsi="Times New Roman" w:cs="Times New Roman"/>
                <w:sz w:val="26"/>
                <w:szCs w:val="26"/>
              </w:rPr>
              <w:t xml:space="preserve">, </w:t>
            </w:r>
            <w:r w:rsidRPr="00F93185">
              <w:rPr>
                <w:rFonts w:ascii="Times New Roman" w:hAnsi="Times New Roman" w:cs="Times New Roman"/>
                <w:sz w:val="26"/>
                <w:szCs w:val="26"/>
              </w:rPr>
              <w:t xml:space="preserve"> </w:t>
            </w:r>
            <w:r w:rsidR="00D73FFF" w:rsidRPr="00F93185">
              <w:rPr>
                <w:rFonts w:ascii="Times New Roman" w:hAnsi="Times New Roman" w:cs="Times New Roman"/>
                <w:sz w:val="26"/>
                <w:szCs w:val="26"/>
              </w:rPr>
              <w:t>sertifikācijas iestāde, aģentūra un programmas apsaimniekotāji</w:t>
            </w:r>
            <w:r w:rsidR="0042296D">
              <w:rPr>
                <w:rFonts w:ascii="Times New Roman" w:hAnsi="Times New Roman" w:cs="Times New Roman"/>
                <w:sz w:val="26"/>
                <w:szCs w:val="26"/>
              </w:rPr>
              <w:t>.</w:t>
            </w:r>
          </w:p>
        </w:tc>
      </w:tr>
      <w:tr w:rsidR="00F56EA8" w:rsidRPr="00D748C7" w14:paraId="1FC65FAB" w14:textId="77777777" w:rsidTr="00FE7BB4">
        <w:tc>
          <w:tcPr>
            <w:tcW w:w="426" w:type="dxa"/>
          </w:tcPr>
          <w:p w14:paraId="03286863" w14:textId="4CFF368F"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2.</w:t>
            </w:r>
          </w:p>
        </w:tc>
        <w:tc>
          <w:tcPr>
            <w:tcW w:w="3402" w:type="dxa"/>
          </w:tcPr>
          <w:p w14:paraId="403958EF" w14:textId="75DCEBC8"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Tiesiskā regulējuma ietekme uz tautsaimniecību un administratīvo slogu</w:t>
            </w:r>
          </w:p>
        </w:tc>
        <w:tc>
          <w:tcPr>
            <w:tcW w:w="5528" w:type="dxa"/>
          </w:tcPr>
          <w:p w14:paraId="7315A0CA" w14:textId="5B94297C" w:rsidR="00EE6B5B" w:rsidRPr="00E611FD" w:rsidRDefault="003843F1" w:rsidP="00CD44A9">
            <w:pPr>
              <w:shd w:val="clear" w:color="auto" w:fill="FFFFFF"/>
              <w:jc w:val="both"/>
              <w:rPr>
                <w:rFonts w:ascii="Times New Roman" w:hAnsi="Times New Roman" w:cs="Times New Roman"/>
                <w:sz w:val="26"/>
                <w:szCs w:val="26"/>
              </w:rPr>
            </w:pPr>
            <w:r w:rsidRPr="00E611FD">
              <w:rPr>
                <w:rFonts w:ascii="Times New Roman" w:hAnsi="Times New Roman" w:cs="Times New Roman"/>
                <w:sz w:val="26"/>
                <w:szCs w:val="26"/>
              </w:rPr>
              <w:t xml:space="preserve">Ņemot vērā plānotos grozījumus Noteikumos, tiesiskais regulējums </w:t>
            </w:r>
            <w:r w:rsidR="00CD44A9">
              <w:rPr>
                <w:rFonts w:ascii="Times New Roman" w:hAnsi="Times New Roman" w:cs="Times New Roman"/>
                <w:sz w:val="26"/>
                <w:szCs w:val="26"/>
              </w:rPr>
              <w:t xml:space="preserve">ļaus līdzfinansējuma saņēmējiem </w:t>
            </w:r>
            <w:r w:rsidR="001147C1">
              <w:rPr>
                <w:rFonts w:ascii="Times New Roman" w:hAnsi="Times New Roman" w:cs="Times New Roman"/>
                <w:sz w:val="26"/>
                <w:szCs w:val="26"/>
              </w:rPr>
              <w:t xml:space="preserve">veikt projekta aktivitātes par vienu gadu ilgāk, tādējādi ļaujot izmantot pilnā apmēra </w:t>
            </w:r>
            <w:r w:rsidR="001147C1">
              <w:rPr>
                <w:rFonts w:ascii="Times New Roman" w:hAnsi="Times New Roman" w:cs="Times New Roman"/>
                <w:sz w:val="26"/>
                <w:szCs w:val="26"/>
              </w:rPr>
              <w:lastRenderedPageBreak/>
              <w:t xml:space="preserve">projektam piešķirto finansējumu un efektīvi izmantot projektos radušos ietaupījumus, veicot papildu aktivitātes. Rezultātā tiks saglabātas projektos izveidotas darba vietas, tādejādi radot pozitīvu ietekmi uz tautsaimniecību. </w:t>
            </w:r>
          </w:p>
        </w:tc>
      </w:tr>
      <w:tr w:rsidR="00F56EA8" w:rsidRPr="00D748C7" w14:paraId="5905BFFD" w14:textId="77777777" w:rsidTr="00FE7BB4">
        <w:tc>
          <w:tcPr>
            <w:tcW w:w="426" w:type="dxa"/>
          </w:tcPr>
          <w:p w14:paraId="664A2215" w14:textId="36F8A76D"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lastRenderedPageBreak/>
              <w:t>3.</w:t>
            </w:r>
          </w:p>
        </w:tc>
        <w:tc>
          <w:tcPr>
            <w:tcW w:w="3402" w:type="dxa"/>
          </w:tcPr>
          <w:p w14:paraId="450A6322" w14:textId="537691EF"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Administratīvo izmaksu monetārs novērtējums</w:t>
            </w:r>
          </w:p>
        </w:tc>
        <w:tc>
          <w:tcPr>
            <w:tcW w:w="5528" w:type="dxa"/>
          </w:tcPr>
          <w:p w14:paraId="3A89F195" w14:textId="42C05D89" w:rsidR="00EE6B5B" w:rsidRPr="00D748C7" w:rsidRDefault="00D8557D" w:rsidP="00EE6B5B">
            <w:pPr>
              <w:jc w:val="both"/>
              <w:rPr>
                <w:rFonts w:ascii="Times New Roman" w:hAnsi="Times New Roman" w:cs="Times New Roman"/>
                <w:sz w:val="26"/>
                <w:szCs w:val="26"/>
              </w:rPr>
            </w:pPr>
            <w:r>
              <w:rPr>
                <w:rFonts w:ascii="Times New Roman" w:hAnsi="Times New Roman" w:cs="Times New Roman"/>
                <w:sz w:val="26"/>
                <w:szCs w:val="26"/>
              </w:rPr>
              <w:t xml:space="preserve">Projekts šo jomu neskar. </w:t>
            </w:r>
          </w:p>
        </w:tc>
      </w:tr>
      <w:tr w:rsidR="00F56EA8" w:rsidRPr="00D748C7" w14:paraId="735418E3" w14:textId="77777777" w:rsidTr="00FE7BB4">
        <w:tc>
          <w:tcPr>
            <w:tcW w:w="426" w:type="dxa"/>
          </w:tcPr>
          <w:p w14:paraId="4CA3251A" w14:textId="383A64FC"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4.</w:t>
            </w:r>
          </w:p>
        </w:tc>
        <w:tc>
          <w:tcPr>
            <w:tcW w:w="3402" w:type="dxa"/>
          </w:tcPr>
          <w:p w14:paraId="29D32845" w14:textId="016B5283"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Cita informācija</w:t>
            </w:r>
          </w:p>
        </w:tc>
        <w:tc>
          <w:tcPr>
            <w:tcW w:w="5528" w:type="dxa"/>
          </w:tcPr>
          <w:p w14:paraId="24BCA008" w14:textId="2630C2AC" w:rsidR="00F56EA8" w:rsidRPr="00D748C7" w:rsidRDefault="00E633A1" w:rsidP="008E261C">
            <w:pPr>
              <w:jc w:val="both"/>
              <w:rPr>
                <w:rFonts w:ascii="Times New Roman" w:hAnsi="Times New Roman" w:cs="Times New Roman"/>
                <w:sz w:val="26"/>
                <w:szCs w:val="26"/>
              </w:rPr>
            </w:pPr>
            <w:r w:rsidRPr="00D748C7">
              <w:rPr>
                <w:rFonts w:ascii="Times New Roman" w:hAnsi="Times New Roman" w:cs="Times New Roman"/>
                <w:sz w:val="26"/>
                <w:szCs w:val="26"/>
              </w:rPr>
              <w:t>Nav</w:t>
            </w:r>
          </w:p>
        </w:tc>
      </w:tr>
    </w:tbl>
    <w:p w14:paraId="17E1CE62" w14:textId="77777777" w:rsidR="004F7007" w:rsidRPr="00D748C7" w:rsidRDefault="004F7007" w:rsidP="00D8557D">
      <w:pPr>
        <w:spacing w:after="0" w:line="240" w:lineRule="auto"/>
        <w:rPr>
          <w:rFonts w:ascii="Times New Roman" w:hAnsi="Times New Roman" w:cs="Times New Roman"/>
          <w:sz w:val="26"/>
          <w:szCs w:val="26"/>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700"/>
      </w:tblGrid>
      <w:tr w:rsidR="00991CBE" w:rsidRPr="00D748C7" w14:paraId="5EDF1EEE" w14:textId="77777777" w:rsidTr="00115F3C">
        <w:trPr>
          <w:trHeight w:val="381"/>
          <w:jc w:val="center"/>
        </w:trPr>
        <w:tc>
          <w:tcPr>
            <w:tcW w:w="9239" w:type="dxa"/>
            <w:gridSpan w:val="3"/>
            <w:vAlign w:val="center"/>
          </w:tcPr>
          <w:p w14:paraId="5EDF1EED" w14:textId="77777777" w:rsidR="00DA6C86" w:rsidRPr="00D748C7" w:rsidRDefault="00DA6C86" w:rsidP="00171D36">
            <w:pPr>
              <w:pStyle w:val="naisnod"/>
              <w:spacing w:before="0" w:beforeAutospacing="0" w:after="0" w:afterAutospacing="0"/>
              <w:ind w:left="57" w:right="57"/>
              <w:jc w:val="center"/>
              <w:rPr>
                <w:sz w:val="26"/>
                <w:szCs w:val="26"/>
              </w:rPr>
            </w:pPr>
            <w:r w:rsidRPr="00D748C7">
              <w:rPr>
                <w:b/>
                <w:sz w:val="26"/>
                <w:szCs w:val="26"/>
              </w:rPr>
              <w:t>VII. Tiesību akta projekta izpildes nodrošināšana un tās ietekme uz institūcijām</w:t>
            </w:r>
          </w:p>
        </w:tc>
      </w:tr>
      <w:tr w:rsidR="00DA6C86" w:rsidRPr="00D748C7" w14:paraId="5EDF1EF2" w14:textId="77777777" w:rsidTr="00115F3C">
        <w:trPr>
          <w:trHeight w:val="427"/>
          <w:jc w:val="center"/>
        </w:trPr>
        <w:tc>
          <w:tcPr>
            <w:tcW w:w="562" w:type="dxa"/>
          </w:tcPr>
          <w:p w14:paraId="5EDF1EEF" w14:textId="77777777" w:rsidR="00DA6C86" w:rsidRPr="00D748C7" w:rsidRDefault="00DA6C86" w:rsidP="00171D36">
            <w:pPr>
              <w:pStyle w:val="naisnod"/>
              <w:spacing w:before="0" w:beforeAutospacing="0" w:after="0" w:afterAutospacing="0"/>
              <w:ind w:left="57" w:right="57"/>
              <w:jc w:val="both"/>
              <w:rPr>
                <w:sz w:val="26"/>
                <w:szCs w:val="26"/>
              </w:rPr>
            </w:pPr>
            <w:r w:rsidRPr="00D748C7">
              <w:rPr>
                <w:sz w:val="26"/>
                <w:szCs w:val="26"/>
              </w:rPr>
              <w:t>1.</w:t>
            </w:r>
          </w:p>
        </w:tc>
        <w:tc>
          <w:tcPr>
            <w:tcW w:w="2977" w:type="dxa"/>
          </w:tcPr>
          <w:p w14:paraId="5EDF1EF0" w14:textId="77777777" w:rsidR="00DA6C86" w:rsidRPr="00D748C7" w:rsidRDefault="00DA6C86" w:rsidP="002C5BB1">
            <w:pPr>
              <w:pStyle w:val="naisf"/>
              <w:spacing w:before="0" w:beforeAutospacing="0" w:after="0" w:afterAutospacing="0"/>
              <w:ind w:left="57" w:right="57"/>
              <w:rPr>
                <w:sz w:val="26"/>
                <w:szCs w:val="26"/>
              </w:rPr>
            </w:pPr>
            <w:r w:rsidRPr="00D748C7">
              <w:rPr>
                <w:sz w:val="26"/>
                <w:szCs w:val="26"/>
              </w:rPr>
              <w:t>Projekta izpildē iesaistītās institūcijas</w:t>
            </w:r>
          </w:p>
        </w:tc>
        <w:tc>
          <w:tcPr>
            <w:tcW w:w="5700" w:type="dxa"/>
          </w:tcPr>
          <w:p w14:paraId="5EDF1EF1" w14:textId="6C9E8A32" w:rsidR="00DA6C86" w:rsidRPr="00D748C7" w:rsidRDefault="00D73FFF" w:rsidP="001147C1">
            <w:pPr>
              <w:shd w:val="clear" w:color="auto" w:fill="FFFFFF"/>
              <w:spacing w:after="0" w:line="240" w:lineRule="auto"/>
              <w:jc w:val="both"/>
              <w:rPr>
                <w:rFonts w:ascii="Times New Roman" w:hAnsi="Times New Roman" w:cs="Times New Roman"/>
                <w:sz w:val="26"/>
                <w:szCs w:val="26"/>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6"/>
                <w:szCs w:val="26"/>
              </w:rPr>
              <w:t>Noteikumu projekta īstenošanā ir iesaistīta Valsts kase kā sertifikācijas iestāde</w:t>
            </w:r>
            <w:r w:rsidR="001147C1">
              <w:rPr>
                <w:rFonts w:ascii="Times New Roman" w:hAnsi="Times New Roman" w:cs="Times New Roman"/>
                <w:sz w:val="26"/>
                <w:szCs w:val="26"/>
              </w:rPr>
              <w:t>,</w:t>
            </w:r>
            <w:r w:rsidR="003843F1">
              <w:rPr>
                <w:rFonts w:ascii="Times New Roman" w:hAnsi="Times New Roman" w:cs="Times New Roman"/>
                <w:sz w:val="26"/>
                <w:szCs w:val="26"/>
              </w:rPr>
              <w:t xml:space="preserve"> programmu apsaimniekotāji</w:t>
            </w:r>
            <w:r w:rsidR="001147C1">
              <w:rPr>
                <w:rFonts w:ascii="Times New Roman" w:hAnsi="Times New Roman" w:cs="Times New Roman"/>
                <w:sz w:val="26"/>
                <w:szCs w:val="26"/>
              </w:rPr>
              <w:t xml:space="preserve"> un aģentūras</w:t>
            </w:r>
            <w:r w:rsidR="0025393A">
              <w:rPr>
                <w:rFonts w:ascii="Times New Roman" w:hAnsi="Times New Roman" w:cs="Times New Roman"/>
                <w:sz w:val="26"/>
                <w:szCs w:val="26"/>
              </w:rPr>
              <w:t>.</w:t>
            </w:r>
          </w:p>
        </w:tc>
      </w:tr>
      <w:tr w:rsidR="00DA6C86" w:rsidRPr="00D748C7" w14:paraId="5EDF1EF8" w14:textId="77777777" w:rsidTr="00115F3C">
        <w:trPr>
          <w:trHeight w:val="463"/>
          <w:jc w:val="center"/>
        </w:trPr>
        <w:tc>
          <w:tcPr>
            <w:tcW w:w="562" w:type="dxa"/>
          </w:tcPr>
          <w:p w14:paraId="5EDF1EF3" w14:textId="77777777" w:rsidR="00DA6C86" w:rsidRPr="00D748C7" w:rsidRDefault="00DA6C86" w:rsidP="00171D36">
            <w:pPr>
              <w:pStyle w:val="naisnod"/>
              <w:spacing w:before="0" w:beforeAutospacing="0" w:after="0" w:afterAutospacing="0"/>
              <w:ind w:left="57" w:right="57"/>
              <w:jc w:val="both"/>
              <w:rPr>
                <w:sz w:val="26"/>
                <w:szCs w:val="26"/>
              </w:rPr>
            </w:pPr>
            <w:r w:rsidRPr="00D748C7">
              <w:rPr>
                <w:sz w:val="26"/>
                <w:szCs w:val="26"/>
              </w:rPr>
              <w:t>2.</w:t>
            </w:r>
          </w:p>
        </w:tc>
        <w:tc>
          <w:tcPr>
            <w:tcW w:w="2977" w:type="dxa"/>
          </w:tcPr>
          <w:p w14:paraId="5EDF1EF4" w14:textId="376D97F5" w:rsidR="00DA6C86" w:rsidRPr="00D748C7" w:rsidRDefault="00DA6C86" w:rsidP="002C5BB1">
            <w:pPr>
              <w:pStyle w:val="naisf"/>
              <w:spacing w:before="0" w:beforeAutospacing="0" w:after="0" w:afterAutospacing="0"/>
              <w:ind w:left="57" w:right="57"/>
              <w:rPr>
                <w:sz w:val="26"/>
                <w:szCs w:val="26"/>
              </w:rPr>
            </w:pPr>
            <w:r w:rsidRPr="00D748C7">
              <w:rPr>
                <w:sz w:val="26"/>
                <w:szCs w:val="26"/>
              </w:rPr>
              <w:t>Projekta izpildes iet</w:t>
            </w:r>
            <w:r w:rsidR="002C5BB1" w:rsidRPr="00D748C7">
              <w:rPr>
                <w:sz w:val="26"/>
                <w:szCs w:val="26"/>
              </w:rPr>
              <w:t>ekme uz pār</w:t>
            </w:r>
            <w:r w:rsidR="001E69FC" w:rsidRPr="00D748C7">
              <w:rPr>
                <w:sz w:val="26"/>
                <w:szCs w:val="26"/>
              </w:rPr>
              <w:softHyphen/>
            </w:r>
            <w:r w:rsidR="002C5BB1" w:rsidRPr="00D748C7">
              <w:rPr>
                <w:sz w:val="26"/>
                <w:szCs w:val="26"/>
              </w:rPr>
              <w:t xml:space="preserve">valdes funkcijām un </w:t>
            </w:r>
            <w:r w:rsidRPr="00D748C7">
              <w:rPr>
                <w:sz w:val="26"/>
                <w:szCs w:val="26"/>
              </w:rPr>
              <w:t>institucionālo struktūru.</w:t>
            </w:r>
          </w:p>
          <w:p w14:paraId="5EDF1EF5" w14:textId="026B5512" w:rsidR="00DA6C86" w:rsidRPr="00D748C7" w:rsidRDefault="00DA6C86" w:rsidP="002C5BB1">
            <w:pPr>
              <w:pStyle w:val="naisf"/>
              <w:spacing w:before="0" w:beforeAutospacing="0" w:after="0" w:afterAutospacing="0"/>
              <w:ind w:left="57" w:right="57"/>
              <w:rPr>
                <w:sz w:val="26"/>
                <w:szCs w:val="26"/>
              </w:rPr>
            </w:pPr>
            <w:r w:rsidRPr="00D748C7">
              <w:rPr>
                <w:sz w:val="26"/>
                <w:szCs w:val="26"/>
              </w:rPr>
              <w:t>Jaunu institūciju izveide, esošu institūciju likvidācija vai reorga</w:t>
            </w:r>
            <w:r w:rsidR="001E69FC" w:rsidRPr="00D748C7">
              <w:rPr>
                <w:sz w:val="26"/>
                <w:szCs w:val="26"/>
              </w:rPr>
              <w:softHyphen/>
            </w:r>
            <w:r w:rsidRPr="00D748C7">
              <w:rPr>
                <w:sz w:val="26"/>
                <w:szCs w:val="26"/>
              </w:rPr>
              <w:t>nizācija, to ietekme uz institūcijas cilvēkresursiem.</w:t>
            </w:r>
          </w:p>
        </w:tc>
        <w:tc>
          <w:tcPr>
            <w:tcW w:w="5700" w:type="dxa"/>
          </w:tcPr>
          <w:p w14:paraId="5EDF1EF7" w14:textId="3875EEF7" w:rsidR="00435F5D" w:rsidRPr="00D748C7" w:rsidRDefault="00435F5D" w:rsidP="003A7C49">
            <w:pPr>
              <w:shd w:val="clear" w:color="auto" w:fill="FFFFFF"/>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Noteikumu projektam nav ietekmes uz pārvaldes funkcijām un institucionālo struktūru.</w:t>
            </w:r>
          </w:p>
        </w:tc>
      </w:tr>
      <w:tr w:rsidR="00DA6C86" w:rsidRPr="00D748C7" w14:paraId="5EDF1EFD" w14:textId="77777777" w:rsidTr="00115F3C">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D748C7" w:rsidRDefault="00DA6C86" w:rsidP="00171D36">
            <w:pPr>
              <w:pStyle w:val="naisnod"/>
              <w:spacing w:before="0" w:beforeAutospacing="0" w:after="0" w:afterAutospacing="0"/>
              <w:ind w:left="57" w:right="57"/>
              <w:jc w:val="both"/>
              <w:rPr>
                <w:sz w:val="26"/>
                <w:szCs w:val="26"/>
              </w:rPr>
            </w:pPr>
            <w:r w:rsidRPr="00D748C7">
              <w:rPr>
                <w:sz w:val="26"/>
                <w:szCs w:val="26"/>
              </w:rPr>
              <w:t>3.</w:t>
            </w:r>
          </w:p>
        </w:tc>
        <w:tc>
          <w:tcPr>
            <w:tcW w:w="2977" w:type="dxa"/>
            <w:tcBorders>
              <w:top w:val="single" w:sz="4" w:space="0" w:color="auto"/>
              <w:left w:val="single" w:sz="4" w:space="0" w:color="auto"/>
              <w:bottom w:val="single" w:sz="4" w:space="0" w:color="auto"/>
              <w:right w:val="single" w:sz="4" w:space="0" w:color="auto"/>
            </w:tcBorders>
          </w:tcPr>
          <w:p w14:paraId="5EDF1EFA" w14:textId="77777777" w:rsidR="00DA6C86" w:rsidRPr="00D748C7" w:rsidRDefault="00DA6C86" w:rsidP="002C5BB1">
            <w:pPr>
              <w:pStyle w:val="naisf"/>
              <w:spacing w:before="0" w:beforeAutospacing="0" w:after="0" w:afterAutospacing="0"/>
              <w:ind w:left="57" w:right="57"/>
              <w:rPr>
                <w:sz w:val="26"/>
                <w:szCs w:val="26"/>
              </w:rPr>
            </w:pPr>
            <w:r w:rsidRPr="00D748C7">
              <w:rPr>
                <w:sz w:val="26"/>
                <w:szCs w:val="26"/>
              </w:rPr>
              <w:t>Cita informācija</w:t>
            </w:r>
          </w:p>
        </w:tc>
        <w:tc>
          <w:tcPr>
            <w:tcW w:w="5700" w:type="dxa"/>
            <w:tcBorders>
              <w:top w:val="single" w:sz="4" w:space="0" w:color="auto"/>
              <w:left w:val="single" w:sz="4" w:space="0" w:color="auto"/>
              <w:bottom w:val="single" w:sz="4" w:space="0" w:color="auto"/>
              <w:right w:val="single" w:sz="4" w:space="0" w:color="auto"/>
            </w:tcBorders>
          </w:tcPr>
          <w:p w14:paraId="5EDF1EFC" w14:textId="51273B00" w:rsidR="00DA6C86" w:rsidRPr="00D748C7" w:rsidRDefault="00380812" w:rsidP="00171D36">
            <w:pPr>
              <w:spacing w:after="0" w:line="240" w:lineRule="auto"/>
              <w:ind w:left="57" w:right="57"/>
              <w:jc w:val="both"/>
              <w:rPr>
                <w:rFonts w:ascii="Times New Roman" w:hAnsi="Times New Roman" w:cs="Times New Roman"/>
                <w:sz w:val="26"/>
                <w:szCs w:val="26"/>
              </w:rPr>
            </w:pPr>
            <w:r w:rsidRPr="00D748C7">
              <w:rPr>
                <w:rFonts w:ascii="Times New Roman" w:hAnsi="Times New Roman" w:cs="Times New Roman"/>
                <w:sz w:val="26"/>
                <w:szCs w:val="26"/>
              </w:rPr>
              <w:t>Nav</w:t>
            </w:r>
          </w:p>
        </w:tc>
      </w:tr>
    </w:tbl>
    <w:p w14:paraId="7FB5EC3F" w14:textId="51278A0B" w:rsidR="00FA1208" w:rsidRDefault="00397763" w:rsidP="00FA1208">
      <w:pPr>
        <w:pStyle w:val="naisf"/>
        <w:spacing w:before="0" w:beforeAutospacing="0" w:after="0" w:afterAutospacing="0"/>
      </w:pPr>
      <w:r w:rsidRPr="00D748C7">
        <w:rPr>
          <w:sz w:val="26"/>
          <w:szCs w:val="26"/>
        </w:rPr>
        <w:t xml:space="preserve">Anotācijas </w:t>
      </w:r>
      <w:r w:rsidR="00F06C11" w:rsidRPr="00D748C7">
        <w:rPr>
          <w:sz w:val="26"/>
          <w:szCs w:val="26"/>
        </w:rPr>
        <w:t xml:space="preserve">III, </w:t>
      </w:r>
      <w:r w:rsidRPr="00D748C7">
        <w:rPr>
          <w:sz w:val="26"/>
          <w:szCs w:val="26"/>
        </w:rPr>
        <w:t>IV</w:t>
      </w:r>
      <w:r w:rsidR="00B7426D" w:rsidRPr="00D748C7">
        <w:rPr>
          <w:sz w:val="26"/>
          <w:szCs w:val="26"/>
        </w:rPr>
        <w:t>, V</w:t>
      </w:r>
      <w:r w:rsidR="00435F5D">
        <w:rPr>
          <w:sz w:val="26"/>
          <w:szCs w:val="26"/>
        </w:rPr>
        <w:t>, VI</w:t>
      </w:r>
      <w:r w:rsidR="0072182D" w:rsidRPr="00D748C7">
        <w:rPr>
          <w:sz w:val="26"/>
          <w:szCs w:val="26"/>
        </w:rPr>
        <w:t xml:space="preserve"> </w:t>
      </w:r>
      <w:r w:rsidRPr="00D748C7">
        <w:rPr>
          <w:sz w:val="26"/>
          <w:szCs w:val="26"/>
        </w:rPr>
        <w:t xml:space="preserve">sadaļa - MK noteikumu projekts </w:t>
      </w:r>
      <w:r w:rsidR="003A7C49" w:rsidRPr="00D748C7">
        <w:rPr>
          <w:sz w:val="26"/>
          <w:szCs w:val="26"/>
        </w:rPr>
        <w:t xml:space="preserve">šīs jomas </w:t>
      </w:r>
      <w:r w:rsidRPr="00D748C7">
        <w:rPr>
          <w:sz w:val="26"/>
          <w:szCs w:val="26"/>
        </w:rPr>
        <w:t>neskar</w:t>
      </w:r>
      <w:r w:rsidR="005D519B" w:rsidRPr="00D748C7">
        <w:rPr>
          <w:sz w:val="26"/>
          <w:szCs w:val="26"/>
        </w:rPr>
        <w:t>.</w:t>
      </w:r>
    </w:p>
    <w:p w14:paraId="779214FE" w14:textId="77777777" w:rsidR="00FA1208" w:rsidRDefault="00FA1208" w:rsidP="00FA1208">
      <w:pPr>
        <w:pStyle w:val="naisf"/>
        <w:spacing w:before="0" w:beforeAutospacing="0" w:after="0" w:afterAutospacing="0"/>
      </w:pPr>
    </w:p>
    <w:p w14:paraId="132F51EB" w14:textId="3696FF9B" w:rsidR="00236887" w:rsidRDefault="00236887" w:rsidP="00FA1208">
      <w:pPr>
        <w:pStyle w:val="naisf"/>
        <w:spacing w:before="0" w:beforeAutospacing="0" w:after="0" w:afterAutospacing="0"/>
      </w:pPr>
      <w:r w:rsidRPr="00FA1208">
        <w:t>Finanšu ministrs</w:t>
      </w:r>
      <w:r w:rsidRPr="00FA1208">
        <w:tab/>
      </w:r>
      <w:r w:rsidRPr="00FA1208">
        <w:tab/>
      </w:r>
      <w:r w:rsidRPr="00FA1208">
        <w:tab/>
      </w:r>
      <w:r w:rsidRPr="00FA1208">
        <w:tab/>
      </w:r>
      <w:r w:rsidRPr="00FA1208">
        <w:tab/>
      </w:r>
      <w:r w:rsidRPr="00FA1208">
        <w:tab/>
      </w:r>
      <w:r w:rsidRPr="00FA1208">
        <w:tab/>
      </w:r>
      <w:r w:rsidRPr="00FA1208">
        <w:tab/>
      </w:r>
      <w:r w:rsidR="00FE756F">
        <w:t>J</w:t>
      </w:r>
      <w:r w:rsidRPr="00FA1208">
        <w:t>.</w:t>
      </w:r>
      <w:r w:rsidR="00FE756F">
        <w:t>Reirs</w:t>
      </w:r>
    </w:p>
    <w:p w14:paraId="2CCEC115" w14:textId="77777777" w:rsidR="00061322" w:rsidRDefault="00061322" w:rsidP="00FA1208">
      <w:pPr>
        <w:pStyle w:val="naisf"/>
        <w:spacing w:before="0" w:beforeAutospacing="0" w:after="0" w:afterAutospacing="0"/>
      </w:pPr>
    </w:p>
    <w:p w14:paraId="331A918E" w14:textId="25E2E3D8" w:rsidR="005D519B" w:rsidRPr="005D519B" w:rsidRDefault="00910AAA" w:rsidP="005D5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r w:rsidR="00192449">
        <w:rPr>
          <w:rFonts w:ascii="Times New Roman" w:hAnsi="Times New Roman" w:cs="Times New Roman"/>
          <w:sz w:val="20"/>
          <w:szCs w:val="20"/>
        </w:rPr>
        <w:t>.</w:t>
      </w:r>
      <w:r w:rsidR="004F7007">
        <w:rPr>
          <w:rFonts w:ascii="Times New Roman" w:hAnsi="Times New Roman" w:cs="Times New Roman"/>
          <w:sz w:val="20"/>
          <w:szCs w:val="20"/>
        </w:rPr>
        <w:t>11.</w:t>
      </w:r>
      <w:r w:rsidR="00285D91" w:rsidRPr="005D519B">
        <w:rPr>
          <w:rFonts w:ascii="Times New Roman" w:hAnsi="Times New Roman" w:cs="Times New Roman"/>
          <w:sz w:val="20"/>
          <w:szCs w:val="20"/>
        </w:rPr>
        <w:t>201</w:t>
      </w:r>
      <w:r w:rsidR="00285D91">
        <w:rPr>
          <w:rFonts w:ascii="Times New Roman" w:hAnsi="Times New Roman" w:cs="Times New Roman"/>
          <w:sz w:val="20"/>
          <w:szCs w:val="20"/>
        </w:rPr>
        <w:t>5</w:t>
      </w:r>
      <w:r w:rsidR="00285D91" w:rsidRPr="005D519B">
        <w:rPr>
          <w:rFonts w:ascii="Times New Roman" w:hAnsi="Times New Roman" w:cs="Times New Roman"/>
          <w:sz w:val="20"/>
          <w:szCs w:val="20"/>
        </w:rPr>
        <w:t xml:space="preserve"> </w:t>
      </w:r>
      <w:r w:rsidR="0027660C">
        <w:rPr>
          <w:rFonts w:ascii="Times New Roman" w:hAnsi="Times New Roman" w:cs="Times New Roman"/>
          <w:sz w:val="20"/>
          <w:szCs w:val="20"/>
        </w:rPr>
        <w:t>12</w:t>
      </w:r>
      <w:r w:rsidR="00192449">
        <w:rPr>
          <w:rFonts w:ascii="Times New Roman" w:hAnsi="Times New Roman" w:cs="Times New Roman"/>
          <w:sz w:val="20"/>
          <w:szCs w:val="20"/>
        </w:rPr>
        <w:t>:</w:t>
      </w:r>
      <w:r w:rsidR="0027660C">
        <w:rPr>
          <w:rFonts w:ascii="Times New Roman" w:hAnsi="Times New Roman" w:cs="Times New Roman"/>
          <w:sz w:val="20"/>
          <w:szCs w:val="20"/>
        </w:rPr>
        <w:t>44</w:t>
      </w:r>
    </w:p>
    <w:p w14:paraId="0CB8C1BE" w14:textId="70EE4963" w:rsidR="0042296D" w:rsidRDefault="00910AAA" w:rsidP="005D5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833</w:t>
      </w:r>
    </w:p>
    <w:p w14:paraId="71A89068" w14:textId="26ED5F88" w:rsidR="005D519B" w:rsidRPr="005D519B" w:rsidRDefault="001568B8" w:rsidP="005D519B">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E</w:t>
      </w:r>
      <w:r w:rsidR="005D519B" w:rsidRPr="005D519B">
        <w:rPr>
          <w:rFonts w:ascii="Times New Roman" w:hAnsi="Times New Roman" w:cs="Times New Roman"/>
          <w:sz w:val="20"/>
          <w:szCs w:val="20"/>
        </w:rPr>
        <w:t>.</w:t>
      </w:r>
      <w:r>
        <w:rPr>
          <w:rFonts w:ascii="Times New Roman" w:hAnsi="Times New Roman" w:cs="Times New Roman"/>
          <w:sz w:val="20"/>
          <w:szCs w:val="20"/>
        </w:rPr>
        <w:t>Loseva</w:t>
      </w:r>
      <w:proofErr w:type="spellEnd"/>
      <w:r w:rsidR="005D519B" w:rsidRPr="005D519B">
        <w:rPr>
          <w:rFonts w:ascii="Times New Roman" w:hAnsi="Times New Roman" w:cs="Times New Roman"/>
          <w:sz w:val="20"/>
          <w:szCs w:val="20"/>
        </w:rPr>
        <w:t>,</w:t>
      </w:r>
    </w:p>
    <w:p w14:paraId="6AB8E1A3"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Finanšu ministrijas</w:t>
      </w:r>
    </w:p>
    <w:p w14:paraId="27A5C89B" w14:textId="77777777" w:rsidR="003C5FF6" w:rsidRPr="003C5FF6" w:rsidRDefault="003C5FF6" w:rsidP="003C5FF6">
      <w:pPr>
        <w:spacing w:after="0" w:line="240" w:lineRule="auto"/>
        <w:rPr>
          <w:rFonts w:ascii="Times New Roman" w:hAnsi="Times New Roman"/>
          <w:sz w:val="20"/>
          <w:szCs w:val="20"/>
        </w:rPr>
      </w:pPr>
      <w:r w:rsidRPr="003C5FF6">
        <w:rPr>
          <w:rFonts w:ascii="Times New Roman" w:hAnsi="Times New Roman"/>
          <w:sz w:val="20"/>
          <w:szCs w:val="20"/>
        </w:rPr>
        <w:t>Eiropas Savienības fondu vadības un kontroles departamenta</w:t>
      </w:r>
    </w:p>
    <w:p w14:paraId="29DF0DF2" w14:textId="77777777" w:rsidR="005D519B" w:rsidRPr="005D519B" w:rsidRDefault="005D519B" w:rsidP="003C5FF6">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Eiropas Savienības fondu tiesiskā nodrošinājuma nodaļas</w:t>
      </w:r>
    </w:p>
    <w:p w14:paraId="6D26D7A6"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juriskonsulte</w:t>
      </w:r>
    </w:p>
    <w:p w14:paraId="1A1B73B5" w14:textId="22409AA0" w:rsidR="00016528" w:rsidRPr="00236887" w:rsidRDefault="001568B8"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67083</w:t>
      </w:r>
      <w:r>
        <w:rPr>
          <w:rFonts w:ascii="Times New Roman" w:hAnsi="Times New Roman" w:cs="Times New Roman"/>
          <w:sz w:val="20"/>
          <w:szCs w:val="20"/>
        </w:rPr>
        <w:t>888</w:t>
      </w:r>
      <w:r w:rsidR="005D519B" w:rsidRPr="005D519B">
        <w:rPr>
          <w:rFonts w:ascii="Times New Roman" w:hAnsi="Times New Roman" w:cs="Times New Roman"/>
          <w:sz w:val="20"/>
          <w:szCs w:val="20"/>
        </w:rPr>
        <w:t xml:space="preserve">, </w:t>
      </w:r>
      <w:r>
        <w:rPr>
          <w:rFonts w:ascii="Times New Roman" w:hAnsi="Times New Roman" w:cs="Times New Roman"/>
          <w:sz w:val="20"/>
          <w:szCs w:val="20"/>
        </w:rPr>
        <w:t>evita</w:t>
      </w:r>
      <w:r w:rsidR="005D519B" w:rsidRPr="005D519B">
        <w:rPr>
          <w:rFonts w:ascii="Times New Roman" w:hAnsi="Times New Roman" w:cs="Times New Roman"/>
          <w:sz w:val="20"/>
          <w:szCs w:val="20"/>
        </w:rPr>
        <w:t>.</w:t>
      </w:r>
      <w:r>
        <w:rPr>
          <w:rFonts w:ascii="Times New Roman" w:hAnsi="Times New Roman" w:cs="Times New Roman"/>
          <w:sz w:val="20"/>
          <w:szCs w:val="20"/>
        </w:rPr>
        <w:t>loseva</w:t>
      </w:r>
      <w:r w:rsidR="005D519B" w:rsidRPr="005D519B">
        <w:rPr>
          <w:rFonts w:ascii="Times New Roman" w:hAnsi="Times New Roman" w:cs="Times New Roman"/>
          <w:sz w:val="20"/>
          <w:szCs w:val="20"/>
        </w:rPr>
        <w:t>@fm.gov.lv</w:t>
      </w:r>
    </w:p>
    <w:sectPr w:rsidR="00016528" w:rsidRPr="00236887" w:rsidSect="00061322">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F6948" w14:textId="77777777" w:rsidR="00C13068" w:rsidRDefault="00C13068" w:rsidP="004369B2">
      <w:pPr>
        <w:spacing w:after="0" w:line="240" w:lineRule="auto"/>
      </w:pPr>
      <w:r>
        <w:separator/>
      </w:r>
    </w:p>
  </w:endnote>
  <w:endnote w:type="continuationSeparator" w:id="0">
    <w:p w14:paraId="31ED6DFB" w14:textId="77777777" w:rsidR="00C13068" w:rsidRDefault="00C13068" w:rsidP="004369B2">
      <w:pPr>
        <w:spacing w:after="0" w:line="240" w:lineRule="auto"/>
      </w:pPr>
      <w:r>
        <w:continuationSeparator/>
      </w:r>
    </w:p>
  </w:endnote>
  <w:endnote w:type="continuationNotice" w:id="1">
    <w:p w14:paraId="4A41043B" w14:textId="77777777" w:rsidR="00C13068" w:rsidRDefault="00C13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B192" w14:textId="6DF1058E" w:rsidR="00061322" w:rsidRPr="00DA0E18" w:rsidRDefault="00DA0E18" w:rsidP="00DA0E18">
    <w:pPr>
      <w:pStyle w:val="Footer"/>
      <w:jc w:val="both"/>
      <w:rPr>
        <w:rFonts w:ascii="Times New Roman" w:hAnsi="Times New Roman" w:cs="Times New Roman"/>
        <w:sz w:val="20"/>
        <w:szCs w:val="20"/>
      </w:rPr>
    </w:pPr>
    <w:r w:rsidRPr="00DA0E18">
      <w:rPr>
        <w:rFonts w:ascii="Times New Roman" w:hAnsi="Times New Roman" w:cs="Times New Roman"/>
        <w:sz w:val="20"/>
        <w:szCs w:val="20"/>
      </w:rPr>
      <w:t>FMAnot_</w:t>
    </w:r>
    <w:r w:rsidR="00910AAA">
      <w:rPr>
        <w:rFonts w:ascii="Times New Roman" w:hAnsi="Times New Roman" w:cs="Times New Roman"/>
        <w:sz w:val="20"/>
        <w:szCs w:val="20"/>
      </w:rPr>
      <w:t>26</w:t>
    </w:r>
    <w:r w:rsidR="00910AAA" w:rsidRPr="00DA0E18">
      <w:rPr>
        <w:rFonts w:ascii="Times New Roman" w:hAnsi="Times New Roman" w:cs="Times New Roman"/>
        <w:sz w:val="20"/>
        <w:szCs w:val="20"/>
      </w:rPr>
      <w:t>1115</w:t>
    </w:r>
    <w:r w:rsidRPr="00DA0E18">
      <w:rPr>
        <w:rFonts w:ascii="Times New Roman" w:hAnsi="Times New Roman" w:cs="Times New Roman"/>
        <w:sz w:val="20"/>
        <w:szCs w:val="20"/>
      </w:rPr>
      <w:t>_MK_694_; Ministru kabineta noteikumu projekta Grozījumi Ministru kabineta 2012.gada 9.oktobra noteikumos Nr.694 “Eiropas Ekonomikas zonas finanšu instrumenta un Norvēģijas finanšu instrumenta 2009.–2014.gada perioda vadības noteikumi” sākotnējās ietekmes novērtējuma ziņojums (anotācija)</w:t>
    </w:r>
  </w:p>
  <w:p w14:paraId="7EE8FEA8" w14:textId="38D47144" w:rsidR="00E66647" w:rsidRPr="00C3198A" w:rsidRDefault="00E66647" w:rsidP="00365C8A">
    <w:pPr>
      <w:pStyle w:val="Footer"/>
      <w:tabs>
        <w:tab w:val="clear" w:pos="4153"/>
        <w:tab w:val="clear" w:pos="8306"/>
        <w:tab w:val="left" w:pos="285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A21A" w14:textId="212368A6" w:rsidR="00061322" w:rsidRDefault="00E649FD" w:rsidP="00D748C7">
    <w:pPr>
      <w:pStyle w:val="Footer"/>
      <w:jc w:val="both"/>
      <w:rPr>
        <w:rFonts w:ascii="Times New Roman" w:hAnsi="Times New Roman" w:cs="Times New Roman"/>
        <w:sz w:val="18"/>
        <w:szCs w:val="18"/>
      </w:rPr>
    </w:pPr>
    <w:r w:rsidRPr="00EC687A">
      <w:rPr>
        <w:rFonts w:ascii="Times New Roman" w:hAnsi="Times New Roman" w:cs="Times New Roman"/>
        <w:sz w:val="18"/>
        <w:szCs w:val="18"/>
      </w:rPr>
      <w:t>FMAnot_</w:t>
    </w:r>
    <w:r w:rsidR="00910AAA">
      <w:rPr>
        <w:rFonts w:ascii="Times New Roman" w:hAnsi="Times New Roman" w:cs="Times New Roman"/>
        <w:sz w:val="18"/>
        <w:szCs w:val="18"/>
      </w:rPr>
      <w:t>2611</w:t>
    </w:r>
    <w:r w:rsidR="00910AAA" w:rsidRPr="00EC687A">
      <w:rPr>
        <w:rFonts w:ascii="Times New Roman" w:hAnsi="Times New Roman" w:cs="Times New Roman"/>
        <w:sz w:val="18"/>
        <w:szCs w:val="18"/>
      </w:rPr>
      <w:t>15</w:t>
    </w:r>
    <w:r w:rsidRPr="00EC687A">
      <w:rPr>
        <w:rFonts w:ascii="Times New Roman" w:hAnsi="Times New Roman" w:cs="Times New Roman"/>
        <w:sz w:val="18"/>
        <w:szCs w:val="18"/>
      </w:rPr>
      <w:t>_MK</w:t>
    </w:r>
    <w:r w:rsidR="00365C8A">
      <w:rPr>
        <w:rFonts w:ascii="Times New Roman" w:hAnsi="Times New Roman" w:cs="Times New Roman"/>
        <w:sz w:val="18"/>
        <w:szCs w:val="18"/>
      </w:rPr>
      <w:t>_</w:t>
    </w:r>
    <w:r w:rsidRPr="00EC687A">
      <w:rPr>
        <w:rFonts w:ascii="Times New Roman" w:hAnsi="Times New Roman" w:cs="Times New Roman"/>
        <w:sz w:val="18"/>
        <w:szCs w:val="18"/>
      </w:rPr>
      <w:t>694</w:t>
    </w:r>
    <w:r w:rsidR="00365C8A">
      <w:rPr>
        <w:rFonts w:ascii="Times New Roman" w:hAnsi="Times New Roman" w:cs="Times New Roman"/>
        <w:sz w:val="18"/>
        <w:szCs w:val="18"/>
      </w:rPr>
      <w:t>_</w:t>
    </w:r>
    <w:r w:rsidRPr="00EC687A">
      <w:rPr>
        <w:rFonts w:ascii="Times New Roman" w:hAnsi="Times New Roman" w:cs="Times New Roman"/>
        <w:sz w:val="18"/>
        <w:szCs w:val="18"/>
      </w:rPr>
      <w:t xml:space="preserve">; Ministru kabineta noteikumu projekta </w:t>
    </w:r>
    <w:r w:rsidRPr="00EC687A">
      <w:rPr>
        <w:rFonts w:ascii="Times New Roman" w:hAnsi="Times New Roman" w:cs="Times New Roman"/>
        <w:bCs/>
        <w:sz w:val="18"/>
        <w:szCs w:val="18"/>
      </w:rPr>
      <w:t xml:space="preserve">Grozījumi Ministru kabineta 2012.gada 9.oktobra noteikumos Nr.694 </w:t>
    </w:r>
    <w:r w:rsidRPr="00EC687A">
      <w:rPr>
        <w:rFonts w:ascii="Times New Roman" w:hAnsi="Times New Roman" w:cs="Times New Roman"/>
        <w:sz w:val="18"/>
        <w:szCs w:val="18"/>
      </w:rPr>
      <w:t>“</w:t>
    </w:r>
    <w:r w:rsidRPr="00EC687A">
      <w:rPr>
        <w:rFonts w:ascii="Times New Roman" w:hAnsi="Times New Roman" w:cs="Times New Roman"/>
        <w:bCs/>
        <w:sz w:val="18"/>
        <w:szCs w:val="18"/>
      </w:rPr>
      <w:t>Eiropas Ekonomikas zonas finanšu instrumenta un Norvēģijas finanšu instrumenta 2009.–2014.gada perioda vadības noteikumi”</w:t>
    </w:r>
    <w:r w:rsidRPr="00EC687A">
      <w:rPr>
        <w:rFonts w:ascii="Times New Roman" w:hAnsi="Times New Roman" w:cs="Times New Roman"/>
        <w:sz w:val="18"/>
        <w:szCs w:val="18"/>
      </w:rPr>
      <w:t xml:space="preserve"> sākotnējās ietekmes novērtējuma ziņojums (anotācija)</w:t>
    </w:r>
  </w:p>
  <w:p w14:paraId="7BB133B8" w14:textId="77777777" w:rsidR="00061322" w:rsidRPr="00C3198A" w:rsidRDefault="00061322" w:rsidP="00D748C7">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9771" w14:textId="6CFFE8C6" w:rsidR="00061322" w:rsidRPr="00EC687A" w:rsidRDefault="00061322" w:rsidP="00061322">
    <w:pPr>
      <w:pStyle w:val="Footer"/>
      <w:jc w:val="both"/>
      <w:rPr>
        <w:rFonts w:ascii="Times New Roman" w:hAnsi="Times New Roman" w:cs="Times New Roman"/>
        <w:sz w:val="18"/>
        <w:szCs w:val="18"/>
      </w:rPr>
    </w:pPr>
    <w:r w:rsidRPr="00EC687A">
      <w:rPr>
        <w:rFonts w:ascii="Times New Roman" w:hAnsi="Times New Roman" w:cs="Times New Roman"/>
        <w:sz w:val="18"/>
        <w:szCs w:val="18"/>
      </w:rPr>
      <w:t>FMAnot_</w:t>
    </w:r>
    <w:r w:rsidR="00910AAA">
      <w:rPr>
        <w:rFonts w:ascii="Times New Roman" w:hAnsi="Times New Roman" w:cs="Times New Roman"/>
        <w:sz w:val="18"/>
        <w:szCs w:val="18"/>
      </w:rPr>
      <w:t>2611</w:t>
    </w:r>
    <w:r w:rsidR="00910AAA" w:rsidRPr="00EC687A">
      <w:rPr>
        <w:rFonts w:ascii="Times New Roman" w:hAnsi="Times New Roman" w:cs="Times New Roman"/>
        <w:sz w:val="18"/>
        <w:szCs w:val="18"/>
      </w:rPr>
      <w:t>15</w:t>
    </w:r>
    <w:r w:rsidRPr="00EC687A">
      <w:rPr>
        <w:rFonts w:ascii="Times New Roman" w:hAnsi="Times New Roman" w:cs="Times New Roman"/>
        <w:sz w:val="18"/>
        <w:szCs w:val="18"/>
      </w:rPr>
      <w:t>_MK</w:t>
    </w:r>
    <w:r>
      <w:rPr>
        <w:rFonts w:ascii="Times New Roman" w:hAnsi="Times New Roman" w:cs="Times New Roman"/>
        <w:sz w:val="18"/>
        <w:szCs w:val="18"/>
      </w:rPr>
      <w:t>_</w:t>
    </w:r>
    <w:r w:rsidRPr="00EC687A">
      <w:rPr>
        <w:rFonts w:ascii="Times New Roman" w:hAnsi="Times New Roman" w:cs="Times New Roman"/>
        <w:sz w:val="18"/>
        <w:szCs w:val="18"/>
      </w:rPr>
      <w:t>694</w:t>
    </w:r>
    <w:r>
      <w:rPr>
        <w:rFonts w:ascii="Times New Roman" w:hAnsi="Times New Roman" w:cs="Times New Roman"/>
        <w:sz w:val="18"/>
        <w:szCs w:val="18"/>
      </w:rPr>
      <w:t>_</w:t>
    </w:r>
    <w:r w:rsidRPr="00EC687A">
      <w:rPr>
        <w:rFonts w:ascii="Times New Roman" w:hAnsi="Times New Roman" w:cs="Times New Roman"/>
        <w:sz w:val="18"/>
        <w:szCs w:val="18"/>
      </w:rPr>
      <w:t xml:space="preserve">; Ministru kabineta noteikumu projekta </w:t>
    </w:r>
    <w:r w:rsidRPr="00EC687A">
      <w:rPr>
        <w:rFonts w:ascii="Times New Roman" w:hAnsi="Times New Roman" w:cs="Times New Roman"/>
        <w:bCs/>
        <w:sz w:val="18"/>
        <w:szCs w:val="18"/>
      </w:rPr>
      <w:t xml:space="preserve">Grozījumi Ministru kabineta 2012.gada 9.oktobra noteikumos Nr.694 </w:t>
    </w:r>
    <w:r w:rsidRPr="00EC687A">
      <w:rPr>
        <w:rFonts w:ascii="Times New Roman" w:hAnsi="Times New Roman" w:cs="Times New Roman"/>
        <w:sz w:val="18"/>
        <w:szCs w:val="18"/>
      </w:rPr>
      <w:t>“</w:t>
    </w:r>
    <w:r w:rsidRPr="00EC687A">
      <w:rPr>
        <w:rFonts w:ascii="Times New Roman" w:hAnsi="Times New Roman" w:cs="Times New Roman"/>
        <w:bCs/>
        <w:sz w:val="18"/>
        <w:szCs w:val="18"/>
      </w:rPr>
      <w:t>Eiropas Ekonomikas zonas finanšu instrumenta un Norvēģijas finanšu instrumenta 2009.–2014.gada perioda vadības noteikumi”</w:t>
    </w:r>
    <w:r w:rsidRPr="00EC687A">
      <w:rPr>
        <w:rFonts w:ascii="Times New Roman" w:hAnsi="Times New Roman" w:cs="Times New Roman"/>
        <w:sz w:val="18"/>
        <w:szCs w:val="18"/>
      </w:rPr>
      <w:t xml:space="preserve"> sākotnējās ietekmes novērtējuma ziņojums (anotācija)</w:t>
    </w:r>
  </w:p>
  <w:p w14:paraId="5EDF1F2D" w14:textId="12D8E914" w:rsidR="00E66647" w:rsidRPr="00EC687A" w:rsidRDefault="00E66647" w:rsidP="00061322">
    <w:pPr>
      <w:pStyle w:val="Footer"/>
      <w:jc w:val="both"/>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570CE" w14:textId="77777777" w:rsidR="00C13068" w:rsidRDefault="00C13068" w:rsidP="004369B2">
      <w:pPr>
        <w:spacing w:after="0" w:line="240" w:lineRule="auto"/>
      </w:pPr>
      <w:r>
        <w:separator/>
      </w:r>
    </w:p>
  </w:footnote>
  <w:footnote w:type="continuationSeparator" w:id="0">
    <w:p w14:paraId="5AFF0C35" w14:textId="77777777" w:rsidR="00C13068" w:rsidRDefault="00C13068" w:rsidP="004369B2">
      <w:pPr>
        <w:spacing w:after="0" w:line="240" w:lineRule="auto"/>
      </w:pPr>
      <w:r>
        <w:continuationSeparator/>
      </w:r>
    </w:p>
  </w:footnote>
  <w:footnote w:type="continuationNotice" w:id="1">
    <w:p w14:paraId="3DF8A60F" w14:textId="77777777" w:rsidR="00C13068" w:rsidRDefault="00C130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03703"/>
      <w:docPartObj>
        <w:docPartGallery w:val="Page Numbers (Top of Page)"/>
        <w:docPartUnique/>
      </w:docPartObj>
    </w:sdtPr>
    <w:sdtEndPr>
      <w:rPr>
        <w:noProof/>
      </w:rPr>
    </w:sdtEndPr>
    <w:sdtContent>
      <w:p w14:paraId="35CF6C7F" w14:textId="263DE315" w:rsidR="00DA0E18" w:rsidRDefault="00DA0E18">
        <w:pPr>
          <w:pStyle w:val="Header"/>
          <w:jc w:val="center"/>
        </w:pPr>
        <w:r>
          <w:fldChar w:fldCharType="begin"/>
        </w:r>
        <w:r>
          <w:instrText xml:space="preserve"> PAGE   \* MERGEFORMAT </w:instrText>
        </w:r>
        <w:r>
          <w:fldChar w:fldCharType="separate"/>
        </w:r>
        <w:r w:rsidR="00DE5C1D">
          <w:rPr>
            <w:noProof/>
          </w:rPr>
          <w:t>2</w:t>
        </w:r>
        <w:r>
          <w:rPr>
            <w:noProof/>
          </w:rPr>
          <w:fldChar w:fldCharType="end"/>
        </w:r>
      </w:p>
    </w:sdtContent>
  </w:sdt>
  <w:p w14:paraId="63933137" w14:textId="77777777" w:rsidR="00061322" w:rsidRDefault="00061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71643"/>
      <w:docPartObj>
        <w:docPartGallery w:val="Page Numbers (Top of Page)"/>
        <w:docPartUnique/>
      </w:docPartObj>
    </w:sdtPr>
    <w:sdtEndPr>
      <w:rPr>
        <w:noProof/>
      </w:rPr>
    </w:sdtEndPr>
    <w:sdtContent>
      <w:p w14:paraId="5B3448A1" w14:textId="66454F3B" w:rsidR="00DA0E18" w:rsidRDefault="00DA0E18">
        <w:pPr>
          <w:pStyle w:val="Header"/>
          <w:jc w:val="center"/>
        </w:pPr>
        <w:r>
          <w:fldChar w:fldCharType="begin"/>
        </w:r>
        <w:r>
          <w:instrText xml:space="preserve"> PAGE   \* MERGEFORMAT </w:instrText>
        </w:r>
        <w:r>
          <w:fldChar w:fldCharType="separate"/>
        </w:r>
        <w:r w:rsidR="00DE5C1D">
          <w:rPr>
            <w:noProof/>
          </w:rPr>
          <w:t>3</w:t>
        </w:r>
        <w:r>
          <w:rPr>
            <w:noProof/>
          </w:rPr>
          <w:fldChar w:fldCharType="end"/>
        </w:r>
      </w:p>
    </w:sdtContent>
  </w:sdt>
  <w:p w14:paraId="01538089" w14:textId="77777777" w:rsidR="00061322" w:rsidRDefault="00061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F7FC" w14:textId="60FCEB25" w:rsidR="00E66647" w:rsidRDefault="00E66647"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1FF200C"/>
    <w:multiLevelType w:val="hybridMultilevel"/>
    <w:tmpl w:val="6692562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6">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D1B4F5E"/>
    <w:multiLevelType w:val="hybridMultilevel"/>
    <w:tmpl w:val="1534D30C"/>
    <w:lvl w:ilvl="0" w:tplc="684EDC0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2">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5">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8">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3FFB4184"/>
    <w:multiLevelType w:val="hybridMultilevel"/>
    <w:tmpl w:val="39FE449A"/>
    <w:lvl w:ilvl="0" w:tplc="A086D458">
      <w:start w:val="1"/>
      <w:numFmt w:val="decimal"/>
      <w:lvlText w:val="%1."/>
      <w:lvlJc w:val="left"/>
      <w:pPr>
        <w:ind w:left="1017" w:hanging="45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5">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6">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9">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3">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4">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6">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7">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32"/>
  </w:num>
  <w:num w:numId="4">
    <w:abstractNumId w:val="0"/>
  </w:num>
  <w:num w:numId="5">
    <w:abstractNumId w:val="10"/>
  </w:num>
  <w:num w:numId="6">
    <w:abstractNumId w:val="13"/>
  </w:num>
  <w:num w:numId="7">
    <w:abstractNumId w:val="3"/>
  </w:num>
  <w:num w:numId="8">
    <w:abstractNumId w:val="17"/>
  </w:num>
  <w:num w:numId="9">
    <w:abstractNumId w:val="1"/>
  </w:num>
  <w:num w:numId="10">
    <w:abstractNumId w:val="2"/>
  </w:num>
  <w:num w:numId="11">
    <w:abstractNumId w:val="33"/>
  </w:num>
  <w:num w:numId="12">
    <w:abstractNumId w:val="20"/>
  </w:num>
  <w:num w:numId="13">
    <w:abstractNumId w:val="34"/>
  </w:num>
  <w:num w:numId="14">
    <w:abstractNumId w:val="28"/>
  </w:num>
  <w:num w:numId="15">
    <w:abstractNumId w:val="27"/>
  </w:num>
  <w:num w:numId="16">
    <w:abstractNumId w:val="37"/>
  </w:num>
  <w:num w:numId="17">
    <w:abstractNumId w:val="29"/>
  </w:num>
  <w:num w:numId="18">
    <w:abstractNumId w:val="26"/>
  </w:num>
  <w:num w:numId="19">
    <w:abstractNumId w:val="22"/>
  </w:num>
  <w:num w:numId="20">
    <w:abstractNumId w:val="23"/>
  </w:num>
  <w:num w:numId="21">
    <w:abstractNumId w:val="15"/>
  </w:num>
  <w:num w:numId="22">
    <w:abstractNumId w:val="7"/>
  </w:num>
  <w:num w:numId="23">
    <w:abstractNumId w:val="18"/>
  </w:num>
  <w:num w:numId="24">
    <w:abstractNumId w:val="31"/>
  </w:num>
  <w:num w:numId="25">
    <w:abstractNumId w:val="16"/>
  </w:num>
  <w:num w:numId="26">
    <w:abstractNumId w:val="6"/>
  </w:num>
  <w:num w:numId="27">
    <w:abstractNumId w:val="5"/>
  </w:num>
  <w:num w:numId="28">
    <w:abstractNumId w:val="35"/>
  </w:num>
  <w:num w:numId="29">
    <w:abstractNumId w:val="36"/>
  </w:num>
  <w:num w:numId="30">
    <w:abstractNumId w:val="25"/>
  </w:num>
  <w:num w:numId="31">
    <w:abstractNumId w:val="24"/>
  </w:num>
  <w:num w:numId="32">
    <w:abstractNumId w:val="14"/>
  </w:num>
  <w:num w:numId="33">
    <w:abstractNumId w:val="11"/>
  </w:num>
  <w:num w:numId="34">
    <w:abstractNumId w:val="21"/>
  </w:num>
  <w:num w:numId="35">
    <w:abstractNumId w:val="12"/>
  </w:num>
  <w:num w:numId="36">
    <w:abstractNumId w:val="4"/>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1C19"/>
    <w:rsid w:val="00002A70"/>
    <w:rsid w:val="00002AC4"/>
    <w:rsid w:val="00003F2D"/>
    <w:rsid w:val="000044FD"/>
    <w:rsid w:val="000066F2"/>
    <w:rsid w:val="00007445"/>
    <w:rsid w:val="00011A47"/>
    <w:rsid w:val="00012F36"/>
    <w:rsid w:val="00012F4F"/>
    <w:rsid w:val="000136A3"/>
    <w:rsid w:val="00013B02"/>
    <w:rsid w:val="00013DA3"/>
    <w:rsid w:val="00016528"/>
    <w:rsid w:val="000170B0"/>
    <w:rsid w:val="00017B0B"/>
    <w:rsid w:val="00021608"/>
    <w:rsid w:val="00022A31"/>
    <w:rsid w:val="00026144"/>
    <w:rsid w:val="00026EB5"/>
    <w:rsid w:val="0002742F"/>
    <w:rsid w:val="000277B3"/>
    <w:rsid w:val="00032426"/>
    <w:rsid w:val="00034F6A"/>
    <w:rsid w:val="00045D82"/>
    <w:rsid w:val="00047C66"/>
    <w:rsid w:val="00056305"/>
    <w:rsid w:val="000612C8"/>
    <w:rsid w:val="00061322"/>
    <w:rsid w:val="000627FE"/>
    <w:rsid w:val="00062AEF"/>
    <w:rsid w:val="00062FE4"/>
    <w:rsid w:val="00064E7B"/>
    <w:rsid w:val="0006747C"/>
    <w:rsid w:val="00067D02"/>
    <w:rsid w:val="00067F85"/>
    <w:rsid w:val="0007017D"/>
    <w:rsid w:val="00070D8C"/>
    <w:rsid w:val="00071243"/>
    <w:rsid w:val="00071906"/>
    <w:rsid w:val="00072A6D"/>
    <w:rsid w:val="00073FE8"/>
    <w:rsid w:val="00085D9E"/>
    <w:rsid w:val="00092D60"/>
    <w:rsid w:val="000946E4"/>
    <w:rsid w:val="000A0B88"/>
    <w:rsid w:val="000A150F"/>
    <w:rsid w:val="000A3A53"/>
    <w:rsid w:val="000A6B02"/>
    <w:rsid w:val="000A6BCF"/>
    <w:rsid w:val="000A76F1"/>
    <w:rsid w:val="000A773A"/>
    <w:rsid w:val="000B3F46"/>
    <w:rsid w:val="000B5F8D"/>
    <w:rsid w:val="000B6F71"/>
    <w:rsid w:val="000B7633"/>
    <w:rsid w:val="000B7FC9"/>
    <w:rsid w:val="000C04B7"/>
    <w:rsid w:val="000C2751"/>
    <w:rsid w:val="000C3185"/>
    <w:rsid w:val="000C4239"/>
    <w:rsid w:val="000C674A"/>
    <w:rsid w:val="000C7217"/>
    <w:rsid w:val="000D1A7F"/>
    <w:rsid w:val="000D75EC"/>
    <w:rsid w:val="000E0EF3"/>
    <w:rsid w:val="000F561E"/>
    <w:rsid w:val="000F56D3"/>
    <w:rsid w:val="00100773"/>
    <w:rsid w:val="00102715"/>
    <w:rsid w:val="001028F2"/>
    <w:rsid w:val="00105A77"/>
    <w:rsid w:val="00106E13"/>
    <w:rsid w:val="00107BB6"/>
    <w:rsid w:val="0011155F"/>
    <w:rsid w:val="00112295"/>
    <w:rsid w:val="00112765"/>
    <w:rsid w:val="001147C1"/>
    <w:rsid w:val="00115711"/>
    <w:rsid w:val="00115F3C"/>
    <w:rsid w:val="00116C13"/>
    <w:rsid w:val="00117C3F"/>
    <w:rsid w:val="001213C6"/>
    <w:rsid w:val="0012183D"/>
    <w:rsid w:val="001228B8"/>
    <w:rsid w:val="00123417"/>
    <w:rsid w:val="00124A07"/>
    <w:rsid w:val="0012659F"/>
    <w:rsid w:val="00127DB5"/>
    <w:rsid w:val="0013023A"/>
    <w:rsid w:val="001315BE"/>
    <w:rsid w:val="00133132"/>
    <w:rsid w:val="00133320"/>
    <w:rsid w:val="001343C0"/>
    <w:rsid w:val="001356E1"/>
    <w:rsid w:val="001378DE"/>
    <w:rsid w:val="00137C6E"/>
    <w:rsid w:val="00142E74"/>
    <w:rsid w:val="001436C5"/>
    <w:rsid w:val="00147090"/>
    <w:rsid w:val="0014765E"/>
    <w:rsid w:val="001535BC"/>
    <w:rsid w:val="001542A5"/>
    <w:rsid w:val="0015441A"/>
    <w:rsid w:val="00155DE8"/>
    <w:rsid w:val="001568B8"/>
    <w:rsid w:val="001571EF"/>
    <w:rsid w:val="00163A60"/>
    <w:rsid w:val="00166EA2"/>
    <w:rsid w:val="001719E3"/>
    <w:rsid w:val="00171D17"/>
    <w:rsid w:val="00171D36"/>
    <w:rsid w:val="001730E1"/>
    <w:rsid w:val="001733B9"/>
    <w:rsid w:val="00174AC6"/>
    <w:rsid w:val="00175420"/>
    <w:rsid w:val="00176CB2"/>
    <w:rsid w:val="00177A5E"/>
    <w:rsid w:val="0018354B"/>
    <w:rsid w:val="00184133"/>
    <w:rsid w:val="00185097"/>
    <w:rsid w:val="00192449"/>
    <w:rsid w:val="00192975"/>
    <w:rsid w:val="001A03C5"/>
    <w:rsid w:val="001A0615"/>
    <w:rsid w:val="001A1164"/>
    <w:rsid w:val="001A2000"/>
    <w:rsid w:val="001A2160"/>
    <w:rsid w:val="001A30FE"/>
    <w:rsid w:val="001A3439"/>
    <w:rsid w:val="001A5E56"/>
    <w:rsid w:val="001A6A7F"/>
    <w:rsid w:val="001A7231"/>
    <w:rsid w:val="001A7D41"/>
    <w:rsid w:val="001B0121"/>
    <w:rsid w:val="001B1210"/>
    <w:rsid w:val="001B2D57"/>
    <w:rsid w:val="001B42C1"/>
    <w:rsid w:val="001B5722"/>
    <w:rsid w:val="001B5DC3"/>
    <w:rsid w:val="001C01DD"/>
    <w:rsid w:val="001C144E"/>
    <w:rsid w:val="001C2D7C"/>
    <w:rsid w:val="001C5C43"/>
    <w:rsid w:val="001C616D"/>
    <w:rsid w:val="001C675E"/>
    <w:rsid w:val="001D0391"/>
    <w:rsid w:val="001D09A2"/>
    <w:rsid w:val="001D0E62"/>
    <w:rsid w:val="001D1F5D"/>
    <w:rsid w:val="001D2A1D"/>
    <w:rsid w:val="001D660B"/>
    <w:rsid w:val="001E2011"/>
    <w:rsid w:val="001E3DE9"/>
    <w:rsid w:val="001E4779"/>
    <w:rsid w:val="001E4F58"/>
    <w:rsid w:val="001E69FC"/>
    <w:rsid w:val="001F004D"/>
    <w:rsid w:val="001F0072"/>
    <w:rsid w:val="001F1873"/>
    <w:rsid w:val="001F1CE7"/>
    <w:rsid w:val="001F30D4"/>
    <w:rsid w:val="001F353C"/>
    <w:rsid w:val="001F4836"/>
    <w:rsid w:val="001F6940"/>
    <w:rsid w:val="00200F15"/>
    <w:rsid w:val="00201C9F"/>
    <w:rsid w:val="0020233E"/>
    <w:rsid w:val="002030E5"/>
    <w:rsid w:val="0020561B"/>
    <w:rsid w:val="00205DB2"/>
    <w:rsid w:val="00205F39"/>
    <w:rsid w:val="00206258"/>
    <w:rsid w:val="00210AC4"/>
    <w:rsid w:val="002121D7"/>
    <w:rsid w:val="00212E84"/>
    <w:rsid w:val="002130ED"/>
    <w:rsid w:val="00215CA6"/>
    <w:rsid w:val="00216601"/>
    <w:rsid w:val="002276DD"/>
    <w:rsid w:val="002277D8"/>
    <w:rsid w:val="0023149A"/>
    <w:rsid w:val="00232B4D"/>
    <w:rsid w:val="00232EA5"/>
    <w:rsid w:val="00232F12"/>
    <w:rsid w:val="00233B1F"/>
    <w:rsid w:val="00233CDB"/>
    <w:rsid w:val="00234A68"/>
    <w:rsid w:val="00235345"/>
    <w:rsid w:val="00236887"/>
    <w:rsid w:val="002441D0"/>
    <w:rsid w:val="00246C35"/>
    <w:rsid w:val="00247EBD"/>
    <w:rsid w:val="00250602"/>
    <w:rsid w:val="00253005"/>
    <w:rsid w:val="0025393A"/>
    <w:rsid w:val="00256C84"/>
    <w:rsid w:val="00257188"/>
    <w:rsid w:val="002609B6"/>
    <w:rsid w:val="0026304A"/>
    <w:rsid w:val="0027085F"/>
    <w:rsid w:val="0027217F"/>
    <w:rsid w:val="002731B1"/>
    <w:rsid w:val="00273293"/>
    <w:rsid w:val="0027384E"/>
    <w:rsid w:val="00274308"/>
    <w:rsid w:val="00274407"/>
    <w:rsid w:val="0027660C"/>
    <w:rsid w:val="00276EAD"/>
    <w:rsid w:val="00277B1F"/>
    <w:rsid w:val="00280188"/>
    <w:rsid w:val="00280363"/>
    <w:rsid w:val="002805C0"/>
    <w:rsid w:val="0028065B"/>
    <w:rsid w:val="0028174B"/>
    <w:rsid w:val="002819F0"/>
    <w:rsid w:val="00282427"/>
    <w:rsid w:val="00284D83"/>
    <w:rsid w:val="00285418"/>
    <w:rsid w:val="00285D91"/>
    <w:rsid w:val="00287F13"/>
    <w:rsid w:val="002909AD"/>
    <w:rsid w:val="0029166A"/>
    <w:rsid w:val="002917F8"/>
    <w:rsid w:val="00292449"/>
    <w:rsid w:val="00293CA3"/>
    <w:rsid w:val="00295610"/>
    <w:rsid w:val="00295961"/>
    <w:rsid w:val="00296224"/>
    <w:rsid w:val="0029664A"/>
    <w:rsid w:val="002A0908"/>
    <w:rsid w:val="002A0ADB"/>
    <w:rsid w:val="002A1674"/>
    <w:rsid w:val="002A3B4D"/>
    <w:rsid w:val="002A3EEE"/>
    <w:rsid w:val="002B237F"/>
    <w:rsid w:val="002B3996"/>
    <w:rsid w:val="002B438A"/>
    <w:rsid w:val="002B6FEB"/>
    <w:rsid w:val="002C01B4"/>
    <w:rsid w:val="002C10D7"/>
    <w:rsid w:val="002C10EA"/>
    <w:rsid w:val="002C21ED"/>
    <w:rsid w:val="002C28EF"/>
    <w:rsid w:val="002C3769"/>
    <w:rsid w:val="002C5BB1"/>
    <w:rsid w:val="002C6C8C"/>
    <w:rsid w:val="002D14F4"/>
    <w:rsid w:val="002D1DBA"/>
    <w:rsid w:val="002D1E59"/>
    <w:rsid w:val="002D2CBA"/>
    <w:rsid w:val="002D2F93"/>
    <w:rsid w:val="002D433C"/>
    <w:rsid w:val="002E17AD"/>
    <w:rsid w:val="002E1C28"/>
    <w:rsid w:val="002E1DFC"/>
    <w:rsid w:val="002E2F44"/>
    <w:rsid w:val="002E2FD1"/>
    <w:rsid w:val="002F29D1"/>
    <w:rsid w:val="002F700B"/>
    <w:rsid w:val="003033B2"/>
    <w:rsid w:val="003036B0"/>
    <w:rsid w:val="00305E8A"/>
    <w:rsid w:val="00306387"/>
    <w:rsid w:val="0031152D"/>
    <w:rsid w:val="00311AFF"/>
    <w:rsid w:val="00311EA5"/>
    <w:rsid w:val="00322046"/>
    <w:rsid w:val="0032258D"/>
    <w:rsid w:val="00324DFE"/>
    <w:rsid w:val="00325324"/>
    <w:rsid w:val="0032763C"/>
    <w:rsid w:val="00333A9B"/>
    <w:rsid w:val="00333EB5"/>
    <w:rsid w:val="00334411"/>
    <w:rsid w:val="00335D25"/>
    <w:rsid w:val="00335D4F"/>
    <w:rsid w:val="0034008E"/>
    <w:rsid w:val="00340F44"/>
    <w:rsid w:val="00343428"/>
    <w:rsid w:val="00347D7A"/>
    <w:rsid w:val="00347E9A"/>
    <w:rsid w:val="00350B57"/>
    <w:rsid w:val="00352DF3"/>
    <w:rsid w:val="00353520"/>
    <w:rsid w:val="00361F61"/>
    <w:rsid w:val="003638B4"/>
    <w:rsid w:val="003654AA"/>
    <w:rsid w:val="00365C8A"/>
    <w:rsid w:val="003714C5"/>
    <w:rsid w:val="003722FD"/>
    <w:rsid w:val="00375B76"/>
    <w:rsid w:val="00380812"/>
    <w:rsid w:val="003843F1"/>
    <w:rsid w:val="003855FF"/>
    <w:rsid w:val="00386316"/>
    <w:rsid w:val="00386F32"/>
    <w:rsid w:val="003925B4"/>
    <w:rsid w:val="00392E77"/>
    <w:rsid w:val="00393CFF"/>
    <w:rsid w:val="0039446F"/>
    <w:rsid w:val="00397763"/>
    <w:rsid w:val="003A1256"/>
    <w:rsid w:val="003A1663"/>
    <w:rsid w:val="003A1AFF"/>
    <w:rsid w:val="003A3F7F"/>
    <w:rsid w:val="003A45C7"/>
    <w:rsid w:val="003A7C49"/>
    <w:rsid w:val="003B1968"/>
    <w:rsid w:val="003B1F58"/>
    <w:rsid w:val="003C04B5"/>
    <w:rsid w:val="003C10E8"/>
    <w:rsid w:val="003C165F"/>
    <w:rsid w:val="003C5FF6"/>
    <w:rsid w:val="003C6EDF"/>
    <w:rsid w:val="003D38D2"/>
    <w:rsid w:val="003D50B4"/>
    <w:rsid w:val="003D569B"/>
    <w:rsid w:val="003D664D"/>
    <w:rsid w:val="003E1193"/>
    <w:rsid w:val="003E31C1"/>
    <w:rsid w:val="003E3801"/>
    <w:rsid w:val="003F036F"/>
    <w:rsid w:val="003F3473"/>
    <w:rsid w:val="003F65EE"/>
    <w:rsid w:val="0040070B"/>
    <w:rsid w:val="00400DDE"/>
    <w:rsid w:val="00401A15"/>
    <w:rsid w:val="00402A9A"/>
    <w:rsid w:val="00405BC6"/>
    <w:rsid w:val="00406B7C"/>
    <w:rsid w:val="00411BBF"/>
    <w:rsid w:val="00415F33"/>
    <w:rsid w:val="0042177C"/>
    <w:rsid w:val="00421E6F"/>
    <w:rsid w:val="0042296D"/>
    <w:rsid w:val="004229F8"/>
    <w:rsid w:val="004246AB"/>
    <w:rsid w:val="00425D95"/>
    <w:rsid w:val="0042708E"/>
    <w:rsid w:val="00427F59"/>
    <w:rsid w:val="004308A6"/>
    <w:rsid w:val="0043316C"/>
    <w:rsid w:val="004343AC"/>
    <w:rsid w:val="00435F5D"/>
    <w:rsid w:val="004369B2"/>
    <w:rsid w:val="00441F04"/>
    <w:rsid w:val="0044312F"/>
    <w:rsid w:val="004431BD"/>
    <w:rsid w:val="00443695"/>
    <w:rsid w:val="004442E0"/>
    <w:rsid w:val="00444F92"/>
    <w:rsid w:val="0044749C"/>
    <w:rsid w:val="00453755"/>
    <w:rsid w:val="004544D2"/>
    <w:rsid w:val="00455B69"/>
    <w:rsid w:val="00466B9E"/>
    <w:rsid w:val="00467A60"/>
    <w:rsid w:val="004709AC"/>
    <w:rsid w:val="00472613"/>
    <w:rsid w:val="0047325D"/>
    <w:rsid w:val="00473BA8"/>
    <w:rsid w:val="00474EEF"/>
    <w:rsid w:val="0047700D"/>
    <w:rsid w:val="00477B03"/>
    <w:rsid w:val="004822D6"/>
    <w:rsid w:val="00485D16"/>
    <w:rsid w:val="00485E95"/>
    <w:rsid w:val="00486E31"/>
    <w:rsid w:val="00487A04"/>
    <w:rsid w:val="004900D0"/>
    <w:rsid w:val="00492774"/>
    <w:rsid w:val="0049352B"/>
    <w:rsid w:val="00495CFB"/>
    <w:rsid w:val="004A0FA2"/>
    <w:rsid w:val="004A30A9"/>
    <w:rsid w:val="004A6B2C"/>
    <w:rsid w:val="004A758F"/>
    <w:rsid w:val="004B056A"/>
    <w:rsid w:val="004B06D2"/>
    <w:rsid w:val="004B247B"/>
    <w:rsid w:val="004B263A"/>
    <w:rsid w:val="004B3942"/>
    <w:rsid w:val="004B6275"/>
    <w:rsid w:val="004C187A"/>
    <w:rsid w:val="004C54AC"/>
    <w:rsid w:val="004C67B2"/>
    <w:rsid w:val="004D3382"/>
    <w:rsid w:val="004D6D5B"/>
    <w:rsid w:val="004E1B12"/>
    <w:rsid w:val="004E2021"/>
    <w:rsid w:val="004E5B70"/>
    <w:rsid w:val="004F07F8"/>
    <w:rsid w:val="004F12C2"/>
    <w:rsid w:val="004F1F14"/>
    <w:rsid w:val="004F2C94"/>
    <w:rsid w:val="004F527E"/>
    <w:rsid w:val="004F5916"/>
    <w:rsid w:val="004F6353"/>
    <w:rsid w:val="004F7007"/>
    <w:rsid w:val="00500402"/>
    <w:rsid w:val="00502937"/>
    <w:rsid w:val="00503049"/>
    <w:rsid w:val="00504770"/>
    <w:rsid w:val="0050499F"/>
    <w:rsid w:val="00507ECC"/>
    <w:rsid w:val="005119D6"/>
    <w:rsid w:val="00513FC8"/>
    <w:rsid w:val="00514E2C"/>
    <w:rsid w:val="005159BC"/>
    <w:rsid w:val="00517601"/>
    <w:rsid w:val="00524E56"/>
    <w:rsid w:val="005258CC"/>
    <w:rsid w:val="00527D30"/>
    <w:rsid w:val="0053075E"/>
    <w:rsid w:val="005307DD"/>
    <w:rsid w:val="0053272A"/>
    <w:rsid w:val="00541141"/>
    <w:rsid w:val="00541276"/>
    <w:rsid w:val="00541CC6"/>
    <w:rsid w:val="00542124"/>
    <w:rsid w:val="0054344C"/>
    <w:rsid w:val="00545FF6"/>
    <w:rsid w:val="00546129"/>
    <w:rsid w:val="00550879"/>
    <w:rsid w:val="0055314C"/>
    <w:rsid w:val="005561E6"/>
    <w:rsid w:val="00557CDC"/>
    <w:rsid w:val="00560C94"/>
    <w:rsid w:val="005612E9"/>
    <w:rsid w:val="0056254F"/>
    <w:rsid w:val="00564E80"/>
    <w:rsid w:val="005675C4"/>
    <w:rsid w:val="005675CC"/>
    <w:rsid w:val="0056769D"/>
    <w:rsid w:val="00572D94"/>
    <w:rsid w:val="00576E0D"/>
    <w:rsid w:val="00582C34"/>
    <w:rsid w:val="00583904"/>
    <w:rsid w:val="005840B6"/>
    <w:rsid w:val="00584507"/>
    <w:rsid w:val="00584879"/>
    <w:rsid w:val="00585200"/>
    <w:rsid w:val="00585B64"/>
    <w:rsid w:val="00585D50"/>
    <w:rsid w:val="00585F65"/>
    <w:rsid w:val="005860F4"/>
    <w:rsid w:val="0058698C"/>
    <w:rsid w:val="005906C4"/>
    <w:rsid w:val="0059110A"/>
    <w:rsid w:val="0059126D"/>
    <w:rsid w:val="00592AE3"/>
    <w:rsid w:val="005949B3"/>
    <w:rsid w:val="00596F47"/>
    <w:rsid w:val="00597631"/>
    <w:rsid w:val="005A17DE"/>
    <w:rsid w:val="005A1D14"/>
    <w:rsid w:val="005A5076"/>
    <w:rsid w:val="005A5A37"/>
    <w:rsid w:val="005A6697"/>
    <w:rsid w:val="005B22B7"/>
    <w:rsid w:val="005B4E4B"/>
    <w:rsid w:val="005B7423"/>
    <w:rsid w:val="005C20BD"/>
    <w:rsid w:val="005C2ABD"/>
    <w:rsid w:val="005C2DF1"/>
    <w:rsid w:val="005C3613"/>
    <w:rsid w:val="005C7323"/>
    <w:rsid w:val="005D164B"/>
    <w:rsid w:val="005D4EAE"/>
    <w:rsid w:val="005D519B"/>
    <w:rsid w:val="005D5D75"/>
    <w:rsid w:val="005D64FF"/>
    <w:rsid w:val="005D72AF"/>
    <w:rsid w:val="005E056B"/>
    <w:rsid w:val="005E26F3"/>
    <w:rsid w:val="005E3BAB"/>
    <w:rsid w:val="005E6A88"/>
    <w:rsid w:val="005F3251"/>
    <w:rsid w:val="005F5CE0"/>
    <w:rsid w:val="005F6B51"/>
    <w:rsid w:val="005F73B9"/>
    <w:rsid w:val="00605EAB"/>
    <w:rsid w:val="006112F6"/>
    <w:rsid w:val="006119A1"/>
    <w:rsid w:val="00614DD5"/>
    <w:rsid w:val="00615F74"/>
    <w:rsid w:val="00617970"/>
    <w:rsid w:val="00622125"/>
    <w:rsid w:val="00622B60"/>
    <w:rsid w:val="00622C4C"/>
    <w:rsid w:val="00624377"/>
    <w:rsid w:val="00624A87"/>
    <w:rsid w:val="006270EB"/>
    <w:rsid w:val="006276D6"/>
    <w:rsid w:val="0062776D"/>
    <w:rsid w:val="006358E7"/>
    <w:rsid w:val="00636E90"/>
    <w:rsid w:val="00643263"/>
    <w:rsid w:val="00643421"/>
    <w:rsid w:val="00651B2D"/>
    <w:rsid w:val="006533A8"/>
    <w:rsid w:val="006552BE"/>
    <w:rsid w:val="006562E0"/>
    <w:rsid w:val="0066088D"/>
    <w:rsid w:val="00662CA0"/>
    <w:rsid w:val="00665314"/>
    <w:rsid w:val="00665490"/>
    <w:rsid w:val="00665874"/>
    <w:rsid w:val="006660C4"/>
    <w:rsid w:val="0066668F"/>
    <w:rsid w:val="00666C0C"/>
    <w:rsid w:val="006671FC"/>
    <w:rsid w:val="00667E5F"/>
    <w:rsid w:val="0067092B"/>
    <w:rsid w:val="00672B73"/>
    <w:rsid w:val="00673CDA"/>
    <w:rsid w:val="00675CB7"/>
    <w:rsid w:val="00681548"/>
    <w:rsid w:val="0068292C"/>
    <w:rsid w:val="00682BFD"/>
    <w:rsid w:val="00682E61"/>
    <w:rsid w:val="0068587B"/>
    <w:rsid w:val="00686DA3"/>
    <w:rsid w:val="006878C6"/>
    <w:rsid w:val="00691EBF"/>
    <w:rsid w:val="0069265B"/>
    <w:rsid w:val="00693210"/>
    <w:rsid w:val="00694617"/>
    <w:rsid w:val="00694926"/>
    <w:rsid w:val="00694976"/>
    <w:rsid w:val="00696872"/>
    <w:rsid w:val="006A15F1"/>
    <w:rsid w:val="006A1744"/>
    <w:rsid w:val="006A1A66"/>
    <w:rsid w:val="006A1CFA"/>
    <w:rsid w:val="006A293E"/>
    <w:rsid w:val="006A326F"/>
    <w:rsid w:val="006A7F89"/>
    <w:rsid w:val="006B02BF"/>
    <w:rsid w:val="006B142D"/>
    <w:rsid w:val="006B2115"/>
    <w:rsid w:val="006B2DC9"/>
    <w:rsid w:val="006B4287"/>
    <w:rsid w:val="006B75CC"/>
    <w:rsid w:val="006C18C0"/>
    <w:rsid w:val="006C309B"/>
    <w:rsid w:val="006C4D67"/>
    <w:rsid w:val="006C4EC8"/>
    <w:rsid w:val="006C62AB"/>
    <w:rsid w:val="006C6FEF"/>
    <w:rsid w:val="006C719C"/>
    <w:rsid w:val="006C7FFB"/>
    <w:rsid w:val="006D33C4"/>
    <w:rsid w:val="006D4642"/>
    <w:rsid w:val="006D5818"/>
    <w:rsid w:val="006E2085"/>
    <w:rsid w:val="006E412A"/>
    <w:rsid w:val="006E4A36"/>
    <w:rsid w:val="006E646D"/>
    <w:rsid w:val="006E77A0"/>
    <w:rsid w:val="006E7B52"/>
    <w:rsid w:val="006F225F"/>
    <w:rsid w:val="006F2AC1"/>
    <w:rsid w:val="006F6554"/>
    <w:rsid w:val="006F75EE"/>
    <w:rsid w:val="006F7810"/>
    <w:rsid w:val="00700A10"/>
    <w:rsid w:val="00703183"/>
    <w:rsid w:val="007034E5"/>
    <w:rsid w:val="00704AA1"/>
    <w:rsid w:val="007059C6"/>
    <w:rsid w:val="007079D9"/>
    <w:rsid w:val="0071422E"/>
    <w:rsid w:val="00714906"/>
    <w:rsid w:val="007153BD"/>
    <w:rsid w:val="00721279"/>
    <w:rsid w:val="0072182D"/>
    <w:rsid w:val="00724139"/>
    <w:rsid w:val="007253C1"/>
    <w:rsid w:val="007262C7"/>
    <w:rsid w:val="00732388"/>
    <w:rsid w:val="00734644"/>
    <w:rsid w:val="0073592E"/>
    <w:rsid w:val="0073596E"/>
    <w:rsid w:val="00735E9A"/>
    <w:rsid w:val="0073620D"/>
    <w:rsid w:val="007367C4"/>
    <w:rsid w:val="007427FF"/>
    <w:rsid w:val="00742A0A"/>
    <w:rsid w:val="00744716"/>
    <w:rsid w:val="00746086"/>
    <w:rsid w:val="007505EB"/>
    <w:rsid w:val="00752A06"/>
    <w:rsid w:val="00753A6D"/>
    <w:rsid w:val="00756A78"/>
    <w:rsid w:val="0076528E"/>
    <w:rsid w:val="00765E16"/>
    <w:rsid w:val="007666F9"/>
    <w:rsid w:val="00767188"/>
    <w:rsid w:val="00767A2A"/>
    <w:rsid w:val="00770B89"/>
    <w:rsid w:val="00771A61"/>
    <w:rsid w:val="007721B3"/>
    <w:rsid w:val="00772E1E"/>
    <w:rsid w:val="00774E67"/>
    <w:rsid w:val="00776E44"/>
    <w:rsid w:val="00776F04"/>
    <w:rsid w:val="00780F05"/>
    <w:rsid w:val="00783AA6"/>
    <w:rsid w:val="00783B3F"/>
    <w:rsid w:val="00784413"/>
    <w:rsid w:val="00786848"/>
    <w:rsid w:val="00787650"/>
    <w:rsid w:val="00787732"/>
    <w:rsid w:val="0078790A"/>
    <w:rsid w:val="00792628"/>
    <w:rsid w:val="00792ED8"/>
    <w:rsid w:val="00795BDA"/>
    <w:rsid w:val="00796885"/>
    <w:rsid w:val="00796E59"/>
    <w:rsid w:val="00797147"/>
    <w:rsid w:val="007A2DC5"/>
    <w:rsid w:val="007A4496"/>
    <w:rsid w:val="007A5414"/>
    <w:rsid w:val="007B2372"/>
    <w:rsid w:val="007B29CD"/>
    <w:rsid w:val="007B49F1"/>
    <w:rsid w:val="007B7B6C"/>
    <w:rsid w:val="007C2883"/>
    <w:rsid w:val="007C7070"/>
    <w:rsid w:val="007D03DA"/>
    <w:rsid w:val="007D5708"/>
    <w:rsid w:val="007D63CF"/>
    <w:rsid w:val="007D6F0D"/>
    <w:rsid w:val="007E35E2"/>
    <w:rsid w:val="007E6C75"/>
    <w:rsid w:val="007F047A"/>
    <w:rsid w:val="007F1EDB"/>
    <w:rsid w:val="007F2821"/>
    <w:rsid w:val="007F303A"/>
    <w:rsid w:val="007F32B9"/>
    <w:rsid w:val="008012F9"/>
    <w:rsid w:val="008023D7"/>
    <w:rsid w:val="008053B2"/>
    <w:rsid w:val="00805677"/>
    <w:rsid w:val="008079EB"/>
    <w:rsid w:val="00807EE6"/>
    <w:rsid w:val="00810E4D"/>
    <w:rsid w:val="00812798"/>
    <w:rsid w:val="00813F8F"/>
    <w:rsid w:val="00816043"/>
    <w:rsid w:val="00824B32"/>
    <w:rsid w:val="00826169"/>
    <w:rsid w:val="00827B83"/>
    <w:rsid w:val="008310F4"/>
    <w:rsid w:val="008313C7"/>
    <w:rsid w:val="00831777"/>
    <w:rsid w:val="008331FB"/>
    <w:rsid w:val="0083336A"/>
    <w:rsid w:val="00836902"/>
    <w:rsid w:val="00837384"/>
    <w:rsid w:val="00843663"/>
    <w:rsid w:val="00843AFD"/>
    <w:rsid w:val="00844B59"/>
    <w:rsid w:val="0084646A"/>
    <w:rsid w:val="00847000"/>
    <w:rsid w:val="008522BD"/>
    <w:rsid w:val="0085451E"/>
    <w:rsid w:val="008608FC"/>
    <w:rsid w:val="00862FD3"/>
    <w:rsid w:val="00864F8C"/>
    <w:rsid w:val="00865C2B"/>
    <w:rsid w:val="00867305"/>
    <w:rsid w:val="00870776"/>
    <w:rsid w:val="0087130E"/>
    <w:rsid w:val="00873EA7"/>
    <w:rsid w:val="00874568"/>
    <w:rsid w:val="00874E9D"/>
    <w:rsid w:val="0087502C"/>
    <w:rsid w:val="008769A0"/>
    <w:rsid w:val="00876B5D"/>
    <w:rsid w:val="00877A5F"/>
    <w:rsid w:val="00880CE2"/>
    <w:rsid w:val="008833EC"/>
    <w:rsid w:val="00883BB9"/>
    <w:rsid w:val="00885312"/>
    <w:rsid w:val="0088687F"/>
    <w:rsid w:val="00886967"/>
    <w:rsid w:val="00892C67"/>
    <w:rsid w:val="00893C1F"/>
    <w:rsid w:val="00896DF9"/>
    <w:rsid w:val="008973D8"/>
    <w:rsid w:val="008A201C"/>
    <w:rsid w:val="008A23A9"/>
    <w:rsid w:val="008A39EC"/>
    <w:rsid w:val="008A574C"/>
    <w:rsid w:val="008A5837"/>
    <w:rsid w:val="008A68A8"/>
    <w:rsid w:val="008A6CC2"/>
    <w:rsid w:val="008A6DCE"/>
    <w:rsid w:val="008A7536"/>
    <w:rsid w:val="008B2F04"/>
    <w:rsid w:val="008B4C21"/>
    <w:rsid w:val="008B627E"/>
    <w:rsid w:val="008B6A32"/>
    <w:rsid w:val="008C0042"/>
    <w:rsid w:val="008C434C"/>
    <w:rsid w:val="008C56D9"/>
    <w:rsid w:val="008C5960"/>
    <w:rsid w:val="008C6CCF"/>
    <w:rsid w:val="008D063B"/>
    <w:rsid w:val="008D20A4"/>
    <w:rsid w:val="008D5C6C"/>
    <w:rsid w:val="008D6C68"/>
    <w:rsid w:val="008D7791"/>
    <w:rsid w:val="008E1FAC"/>
    <w:rsid w:val="008E261C"/>
    <w:rsid w:val="008E441B"/>
    <w:rsid w:val="008E512A"/>
    <w:rsid w:val="008E731F"/>
    <w:rsid w:val="008F04F9"/>
    <w:rsid w:val="008F29FA"/>
    <w:rsid w:val="008F381B"/>
    <w:rsid w:val="008F3FB9"/>
    <w:rsid w:val="008F4AD7"/>
    <w:rsid w:val="008F625D"/>
    <w:rsid w:val="00901B16"/>
    <w:rsid w:val="00903473"/>
    <w:rsid w:val="0090638D"/>
    <w:rsid w:val="00906D29"/>
    <w:rsid w:val="00907095"/>
    <w:rsid w:val="00907E8C"/>
    <w:rsid w:val="0091049A"/>
    <w:rsid w:val="00910AAA"/>
    <w:rsid w:val="00911B7D"/>
    <w:rsid w:val="00920261"/>
    <w:rsid w:val="0092098F"/>
    <w:rsid w:val="0092231D"/>
    <w:rsid w:val="00923371"/>
    <w:rsid w:val="009253C9"/>
    <w:rsid w:val="00925F4E"/>
    <w:rsid w:val="00930C42"/>
    <w:rsid w:val="009310B9"/>
    <w:rsid w:val="00933948"/>
    <w:rsid w:val="00933EBA"/>
    <w:rsid w:val="0093452E"/>
    <w:rsid w:val="00934722"/>
    <w:rsid w:val="0093487E"/>
    <w:rsid w:val="00935DFE"/>
    <w:rsid w:val="0093739F"/>
    <w:rsid w:val="009377C5"/>
    <w:rsid w:val="0094035E"/>
    <w:rsid w:val="00942598"/>
    <w:rsid w:val="009428B3"/>
    <w:rsid w:val="00942B9F"/>
    <w:rsid w:val="009442F2"/>
    <w:rsid w:val="009445FB"/>
    <w:rsid w:val="00944C13"/>
    <w:rsid w:val="009459A6"/>
    <w:rsid w:val="0094686C"/>
    <w:rsid w:val="00950A3E"/>
    <w:rsid w:val="00955686"/>
    <w:rsid w:val="00955714"/>
    <w:rsid w:val="00955D91"/>
    <w:rsid w:val="00957476"/>
    <w:rsid w:val="00960642"/>
    <w:rsid w:val="00961EB5"/>
    <w:rsid w:val="009651A9"/>
    <w:rsid w:val="00965B97"/>
    <w:rsid w:val="00966AE4"/>
    <w:rsid w:val="00972EAB"/>
    <w:rsid w:val="009812C8"/>
    <w:rsid w:val="00982933"/>
    <w:rsid w:val="00983615"/>
    <w:rsid w:val="00985118"/>
    <w:rsid w:val="009854D0"/>
    <w:rsid w:val="00991CBE"/>
    <w:rsid w:val="009930CE"/>
    <w:rsid w:val="00993151"/>
    <w:rsid w:val="0099332B"/>
    <w:rsid w:val="00994E4B"/>
    <w:rsid w:val="00994E79"/>
    <w:rsid w:val="00995E9B"/>
    <w:rsid w:val="009A0A1E"/>
    <w:rsid w:val="009A3179"/>
    <w:rsid w:val="009B00CA"/>
    <w:rsid w:val="009B16E9"/>
    <w:rsid w:val="009B3312"/>
    <w:rsid w:val="009B3852"/>
    <w:rsid w:val="009B5F8C"/>
    <w:rsid w:val="009C2896"/>
    <w:rsid w:val="009C3243"/>
    <w:rsid w:val="009C4CE9"/>
    <w:rsid w:val="009C724A"/>
    <w:rsid w:val="009C7B2D"/>
    <w:rsid w:val="009D152C"/>
    <w:rsid w:val="009D5F0F"/>
    <w:rsid w:val="009E0F59"/>
    <w:rsid w:val="009E1574"/>
    <w:rsid w:val="009E2187"/>
    <w:rsid w:val="009E7B4D"/>
    <w:rsid w:val="009E7C82"/>
    <w:rsid w:val="009F0AA4"/>
    <w:rsid w:val="009F21E6"/>
    <w:rsid w:val="009F7855"/>
    <w:rsid w:val="00A02881"/>
    <w:rsid w:val="00A03063"/>
    <w:rsid w:val="00A045E2"/>
    <w:rsid w:val="00A06301"/>
    <w:rsid w:val="00A078FF"/>
    <w:rsid w:val="00A127ED"/>
    <w:rsid w:val="00A14413"/>
    <w:rsid w:val="00A14481"/>
    <w:rsid w:val="00A15EE4"/>
    <w:rsid w:val="00A16489"/>
    <w:rsid w:val="00A214CF"/>
    <w:rsid w:val="00A23B32"/>
    <w:rsid w:val="00A259C9"/>
    <w:rsid w:val="00A25AF9"/>
    <w:rsid w:val="00A271C7"/>
    <w:rsid w:val="00A31174"/>
    <w:rsid w:val="00A338AB"/>
    <w:rsid w:val="00A413B2"/>
    <w:rsid w:val="00A45722"/>
    <w:rsid w:val="00A45F83"/>
    <w:rsid w:val="00A4717D"/>
    <w:rsid w:val="00A47FDA"/>
    <w:rsid w:val="00A51AE5"/>
    <w:rsid w:val="00A5268E"/>
    <w:rsid w:val="00A54E12"/>
    <w:rsid w:val="00A54E2A"/>
    <w:rsid w:val="00A5504B"/>
    <w:rsid w:val="00A55113"/>
    <w:rsid w:val="00A5632D"/>
    <w:rsid w:val="00A57B5B"/>
    <w:rsid w:val="00A6009E"/>
    <w:rsid w:val="00A62884"/>
    <w:rsid w:val="00A65F57"/>
    <w:rsid w:val="00A66C13"/>
    <w:rsid w:val="00A67700"/>
    <w:rsid w:val="00A73BC3"/>
    <w:rsid w:val="00A74331"/>
    <w:rsid w:val="00A77B55"/>
    <w:rsid w:val="00A77EE5"/>
    <w:rsid w:val="00A82F51"/>
    <w:rsid w:val="00A87078"/>
    <w:rsid w:val="00A87ABE"/>
    <w:rsid w:val="00A915A6"/>
    <w:rsid w:val="00A96656"/>
    <w:rsid w:val="00AA1536"/>
    <w:rsid w:val="00AA21AA"/>
    <w:rsid w:val="00AA22DE"/>
    <w:rsid w:val="00AB1123"/>
    <w:rsid w:val="00AB4526"/>
    <w:rsid w:val="00AB54A5"/>
    <w:rsid w:val="00AB5683"/>
    <w:rsid w:val="00AB57D0"/>
    <w:rsid w:val="00AB7BFF"/>
    <w:rsid w:val="00AB7CF8"/>
    <w:rsid w:val="00AC7A3B"/>
    <w:rsid w:val="00AD473A"/>
    <w:rsid w:val="00AD51DF"/>
    <w:rsid w:val="00AD5ACB"/>
    <w:rsid w:val="00AE0651"/>
    <w:rsid w:val="00AE54F6"/>
    <w:rsid w:val="00AE7B41"/>
    <w:rsid w:val="00AF0385"/>
    <w:rsid w:val="00AF09E5"/>
    <w:rsid w:val="00AF424C"/>
    <w:rsid w:val="00AF57D0"/>
    <w:rsid w:val="00AF5B36"/>
    <w:rsid w:val="00AF5F37"/>
    <w:rsid w:val="00AF72C8"/>
    <w:rsid w:val="00AF7F94"/>
    <w:rsid w:val="00B02041"/>
    <w:rsid w:val="00B03955"/>
    <w:rsid w:val="00B0451C"/>
    <w:rsid w:val="00B06188"/>
    <w:rsid w:val="00B1000C"/>
    <w:rsid w:val="00B104DC"/>
    <w:rsid w:val="00B1096C"/>
    <w:rsid w:val="00B1286E"/>
    <w:rsid w:val="00B12EB3"/>
    <w:rsid w:val="00B16AB7"/>
    <w:rsid w:val="00B2260E"/>
    <w:rsid w:val="00B22D61"/>
    <w:rsid w:val="00B23AC9"/>
    <w:rsid w:val="00B241FD"/>
    <w:rsid w:val="00B30007"/>
    <w:rsid w:val="00B30C9E"/>
    <w:rsid w:val="00B34110"/>
    <w:rsid w:val="00B37ABE"/>
    <w:rsid w:val="00B430D9"/>
    <w:rsid w:val="00B4681E"/>
    <w:rsid w:val="00B50DCF"/>
    <w:rsid w:val="00B53651"/>
    <w:rsid w:val="00B602C6"/>
    <w:rsid w:val="00B64BD4"/>
    <w:rsid w:val="00B666B2"/>
    <w:rsid w:val="00B669F6"/>
    <w:rsid w:val="00B70707"/>
    <w:rsid w:val="00B70895"/>
    <w:rsid w:val="00B70A20"/>
    <w:rsid w:val="00B73DDD"/>
    <w:rsid w:val="00B7426D"/>
    <w:rsid w:val="00B77B7B"/>
    <w:rsid w:val="00B820B4"/>
    <w:rsid w:val="00B824EA"/>
    <w:rsid w:val="00B837F8"/>
    <w:rsid w:val="00B86115"/>
    <w:rsid w:val="00B865E0"/>
    <w:rsid w:val="00B8758E"/>
    <w:rsid w:val="00B90127"/>
    <w:rsid w:val="00B91B8A"/>
    <w:rsid w:val="00B92CC4"/>
    <w:rsid w:val="00B96385"/>
    <w:rsid w:val="00B97A36"/>
    <w:rsid w:val="00BB0CE3"/>
    <w:rsid w:val="00BB26FE"/>
    <w:rsid w:val="00BB54B1"/>
    <w:rsid w:val="00BB5B31"/>
    <w:rsid w:val="00BB73B3"/>
    <w:rsid w:val="00BB7545"/>
    <w:rsid w:val="00BC1867"/>
    <w:rsid w:val="00BC36F4"/>
    <w:rsid w:val="00BC6BE9"/>
    <w:rsid w:val="00BC6D2F"/>
    <w:rsid w:val="00BD0175"/>
    <w:rsid w:val="00BD1CE1"/>
    <w:rsid w:val="00BD2436"/>
    <w:rsid w:val="00BD67FD"/>
    <w:rsid w:val="00BD7770"/>
    <w:rsid w:val="00BE0B3D"/>
    <w:rsid w:val="00BE1116"/>
    <w:rsid w:val="00BE7C4D"/>
    <w:rsid w:val="00BF00C2"/>
    <w:rsid w:val="00BF2002"/>
    <w:rsid w:val="00BF5966"/>
    <w:rsid w:val="00BF5E5A"/>
    <w:rsid w:val="00BF6E02"/>
    <w:rsid w:val="00BF77C1"/>
    <w:rsid w:val="00C03E09"/>
    <w:rsid w:val="00C05026"/>
    <w:rsid w:val="00C0563A"/>
    <w:rsid w:val="00C06405"/>
    <w:rsid w:val="00C10625"/>
    <w:rsid w:val="00C1149C"/>
    <w:rsid w:val="00C11B25"/>
    <w:rsid w:val="00C13068"/>
    <w:rsid w:val="00C14D23"/>
    <w:rsid w:val="00C15E62"/>
    <w:rsid w:val="00C178F2"/>
    <w:rsid w:val="00C20021"/>
    <w:rsid w:val="00C2792E"/>
    <w:rsid w:val="00C27B1D"/>
    <w:rsid w:val="00C3198A"/>
    <w:rsid w:val="00C31B0F"/>
    <w:rsid w:val="00C32E20"/>
    <w:rsid w:val="00C34026"/>
    <w:rsid w:val="00C34A63"/>
    <w:rsid w:val="00C357B0"/>
    <w:rsid w:val="00C36AD7"/>
    <w:rsid w:val="00C40C4E"/>
    <w:rsid w:val="00C42795"/>
    <w:rsid w:val="00C42924"/>
    <w:rsid w:val="00C47345"/>
    <w:rsid w:val="00C52438"/>
    <w:rsid w:val="00C607A9"/>
    <w:rsid w:val="00C624CB"/>
    <w:rsid w:val="00C65499"/>
    <w:rsid w:val="00C66814"/>
    <w:rsid w:val="00C70207"/>
    <w:rsid w:val="00C72DA9"/>
    <w:rsid w:val="00C7379D"/>
    <w:rsid w:val="00C76627"/>
    <w:rsid w:val="00C76C6E"/>
    <w:rsid w:val="00C8641D"/>
    <w:rsid w:val="00C86B50"/>
    <w:rsid w:val="00C90A26"/>
    <w:rsid w:val="00C92004"/>
    <w:rsid w:val="00C930BD"/>
    <w:rsid w:val="00C947C2"/>
    <w:rsid w:val="00C95025"/>
    <w:rsid w:val="00C95529"/>
    <w:rsid w:val="00CA13F6"/>
    <w:rsid w:val="00CA4C41"/>
    <w:rsid w:val="00CA598F"/>
    <w:rsid w:val="00CA6915"/>
    <w:rsid w:val="00CA7D74"/>
    <w:rsid w:val="00CB0A00"/>
    <w:rsid w:val="00CB2E5A"/>
    <w:rsid w:val="00CB3CB7"/>
    <w:rsid w:val="00CB67F0"/>
    <w:rsid w:val="00CB779C"/>
    <w:rsid w:val="00CC42BB"/>
    <w:rsid w:val="00CC525F"/>
    <w:rsid w:val="00CC68FE"/>
    <w:rsid w:val="00CC730E"/>
    <w:rsid w:val="00CC745B"/>
    <w:rsid w:val="00CD1B47"/>
    <w:rsid w:val="00CD1D55"/>
    <w:rsid w:val="00CD234C"/>
    <w:rsid w:val="00CD44A9"/>
    <w:rsid w:val="00CD6F61"/>
    <w:rsid w:val="00CD7CF0"/>
    <w:rsid w:val="00CE0083"/>
    <w:rsid w:val="00CE07DF"/>
    <w:rsid w:val="00CE1498"/>
    <w:rsid w:val="00CE48F9"/>
    <w:rsid w:val="00CE6FFF"/>
    <w:rsid w:val="00CF0360"/>
    <w:rsid w:val="00CF13F9"/>
    <w:rsid w:val="00CF3ECA"/>
    <w:rsid w:val="00CF6620"/>
    <w:rsid w:val="00CF6995"/>
    <w:rsid w:val="00D01364"/>
    <w:rsid w:val="00D01D49"/>
    <w:rsid w:val="00D06EA2"/>
    <w:rsid w:val="00D1132B"/>
    <w:rsid w:val="00D118C6"/>
    <w:rsid w:val="00D13B93"/>
    <w:rsid w:val="00D20A69"/>
    <w:rsid w:val="00D20B04"/>
    <w:rsid w:val="00D2104D"/>
    <w:rsid w:val="00D21EF7"/>
    <w:rsid w:val="00D23C4A"/>
    <w:rsid w:val="00D24398"/>
    <w:rsid w:val="00D265C8"/>
    <w:rsid w:val="00D31FDC"/>
    <w:rsid w:val="00D3560F"/>
    <w:rsid w:val="00D36792"/>
    <w:rsid w:val="00D36ED6"/>
    <w:rsid w:val="00D37DE9"/>
    <w:rsid w:val="00D41DFB"/>
    <w:rsid w:val="00D42CFA"/>
    <w:rsid w:val="00D445E3"/>
    <w:rsid w:val="00D4599A"/>
    <w:rsid w:val="00D46F0A"/>
    <w:rsid w:val="00D5229D"/>
    <w:rsid w:val="00D53448"/>
    <w:rsid w:val="00D54966"/>
    <w:rsid w:val="00D56E11"/>
    <w:rsid w:val="00D61BBA"/>
    <w:rsid w:val="00D62EEC"/>
    <w:rsid w:val="00D65D15"/>
    <w:rsid w:val="00D723D3"/>
    <w:rsid w:val="00D725FE"/>
    <w:rsid w:val="00D73FFF"/>
    <w:rsid w:val="00D748C7"/>
    <w:rsid w:val="00D76B99"/>
    <w:rsid w:val="00D76ED0"/>
    <w:rsid w:val="00D83E6F"/>
    <w:rsid w:val="00D847A8"/>
    <w:rsid w:val="00D8557D"/>
    <w:rsid w:val="00D86085"/>
    <w:rsid w:val="00D864E4"/>
    <w:rsid w:val="00D870D7"/>
    <w:rsid w:val="00D90807"/>
    <w:rsid w:val="00D90D05"/>
    <w:rsid w:val="00D9478A"/>
    <w:rsid w:val="00D95A41"/>
    <w:rsid w:val="00D96D1B"/>
    <w:rsid w:val="00DA0E18"/>
    <w:rsid w:val="00DA202C"/>
    <w:rsid w:val="00DA4A19"/>
    <w:rsid w:val="00DA5A1C"/>
    <w:rsid w:val="00DA6C86"/>
    <w:rsid w:val="00DB0122"/>
    <w:rsid w:val="00DB0E83"/>
    <w:rsid w:val="00DB2102"/>
    <w:rsid w:val="00DB37E2"/>
    <w:rsid w:val="00DB40E4"/>
    <w:rsid w:val="00DC023D"/>
    <w:rsid w:val="00DC0370"/>
    <w:rsid w:val="00DC0BEB"/>
    <w:rsid w:val="00DC1273"/>
    <w:rsid w:val="00DC3E80"/>
    <w:rsid w:val="00DC6DCB"/>
    <w:rsid w:val="00DC7DA1"/>
    <w:rsid w:val="00DD16BE"/>
    <w:rsid w:val="00DD47C8"/>
    <w:rsid w:val="00DD49B6"/>
    <w:rsid w:val="00DD5962"/>
    <w:rsid w:val="00DD7205"/>
    <w:rsid w:val="00DE002F"/>
    <w:rsid w:val="00DE3EE8"/>
    <w:rsid w:val="00DE4554"/>
    <w:rsid w:val="00DE5547"/>
    <w:rsid w:val="00DE5AAD"/>
    <w:rsid w:val="00DE5C1D"/>
    <w:rsid w:val="00DE5F35"/>
    <w:rsid w:val="00DE6036"/>
    <w:rsid w:val="00DE6610"/>
    <w:rsid w:val="00DE759F"/>
    <w:rsid w:val="00DF219B"/>
    <w:rsid w:val="00DF300E"/>
    <w:rsid w:val="00DF41AA"/>
    <w:rsid w:val="00DF444B"/>
    <w:rsid w:val="00DF51A8"/>
    <w:rsid w:val="00DF5521"/>
    <w:rsid w:val="00DF6772"/>
    <w:rsid w:val="00DF7C48"/>
    <w:rsid w:val="00E0686D"/>
    <w:rsid w:val="00E10681"/>
    <w:rsid w:val="00E11BE6"/>
    <w:rsid w:val="00E137C0"/>
    <w:rsid w:val="00E141B2"/>
    <w:rsid w:val="00E14A76"/>
    <w:rsid w:val="00E163C4"/>
    <w:rsid w:val="00E208B9"/>
    <w:rsid w:val="00E21860"/>
    <w:rsid w:val="00E25165"/>
    <w:rsid w:val="00E25CAD"/>
    <w:rsid w:val="00E26BDF"/>
    <w:rsid w:val="00E3106D"/>
    <w:rsid w:val="00E3189E"/>
    <w:rsid w:val="00E3242A"/>
    <w:rsid w:val="00E404DB"/>
    <w:rsid w:val="00E42943"/>
    <w:rsid w:val="00E43215"/>
    <w:rsid w:val="00E50868"/>
    <w:rsid w:val="00E50875"/>
    <w:rsid w:val="00E52099"/>
    <w:rsid w:val="00E52FB5"/>
    <w:rsid w:val="00E53F44"/>
    <w:rsid w:val="00E544F6"/>
    <w:rsid w:val="00E57FCE"/>
    <w:rsid w:val="00E60E6E"/>
    <w:rsid w:val="00E611FD"/>
    <w:rsid w:val="00E633A1"/>
    <w:rsid w:val="00E649FD"/>
    <w:rsid w:val="00E65884"/>
    <w:rsid w:val="00E66600"/>
    <w:rsid w:val="00E66647"/>
    <w:rsid w:val="00E70959"/>
    <w:rsid w:val="00E71B57"/>
    <w:rsid w:val="00E72CE0"/>
    <w:rsid w:val="00E74E50"/>
    <w:rsid w:val="00E7544D"/>
    <w:rsid w:val="00E80A81"/>
    <w:rsid w:val="00E81B9E"/>
    <w:rsid w:val="00E82DCB"/>
    <w:rsid w:val="00E86166"/>
    <w:rsid w:val="00E862B5"/>
    <w:rsid w:val="00E8633C"/>
    <w:rsid w:val="00E8652F"/>
    <w:rsid w:val="00E86720"/>
    <w:rsid w:val="00E877B0"/>
    <w:rsid w:val="00E87E2B"/>
    <w:rsid w:val="00E927CB"/>
    <w:rsid w:val="00E92B07"/>
    <w:rsid w:val="00E93142"/>
    <w:rsid w:val="00E96220"/>
    <w:rsid w:val="00E9643A"/>
    <w:rsid w:val="00E978C4"/>
    <w:rsid w:val="00EA09C1"/>
    <w:rsid w:val="00EA2C51"/>
    <w:rsid w:val="00EA365B"/>
    <w:rsid w:val="00EA45C0"/>
    <w:rsid w:val="00EA5AF1"/>
    <w:rsid w:val="00EA5BE5"/>
    <w:rsid w:val="00EA6C01"/>
    <w:rsid w:val="00EA6DDF"/>
    <w:rsid w:val="00EB1C58"/>
    <w:rsid w:val="00EB2EC5"/>
    <w:rsid w:val="00EB36D3"/>
    <w:rsid w:val="00EB5637"/>
    <w:rsid w:val="00EC015F"/>
    <w:rsid w:val="00EC100E"/>
    <w:rsid w:val="00EC4B3D"/>
    <w:rsid w:val="00EC5E31"/>
    <w:rsid w:val="00EC687A"/>
    <w:rsid w:val="00EC7BBC"/>
    <w:rsid w:val="00ED09E2"/>
    <w:rsid w:val="00ED0CC5"/>
    <w:rsid w:val="00ED4614"/>
    <w:rsid w:val="00ED7D50"/>
    <w:rsid w:val="00EE0F2E"/>
    <w:rsid w:val="00EE1D30"/>
    <w:rsid w:val="00EE24A7"/>
    <w:rsid w:val="00EE2F22"/>
    <w:rsid w:val="00EE5232"/>
    <w:rsid w:val="00EE6B5B"/>
    <w:rsid w:val="00EE6D99"/>
    <w:rsid w:val="00EF324E"/>
    <w:rsid w:val="00EF4784"/>
    <w:rsid w:val="00EF68D0"/>
    <w:rsid w:val="00EF7BBB"/>
    <w:rsid w:val="00F01460"/>
    <w:rsid w:val="00F0244D"/>
    <w:rsid w:val="00F0451B"/>
    <w:rsid w:val="00F0661D"/>
    <w:rsid w:val="00F06C11"/>
    <w:rsid w:val="00F06C54"/>
    <w:rsid w:val="00F071C9"/>
    <w:rsid w:val="00F1174D"/>
    <w:rsid w:val="00F12A40"/>
    <w:rsid w:val="00F143AE"/>
    <w:rsid w:val="00F16CA9"/>
    <w:rsid w:val="00F16D0A"/>
    <w:rsid w:val="00F17392"/>
    <w:rsid w:val="00F17467"/>
    <w:rsid w:val="00F24375"/>
    <w:rsid w:val="00F2490D"/>
    <w:rsid w:val="00F2646E"/>
    <w:rsid w:val="00F31101"/>
    <w:rsid w:val="00F32855"/>
    <w:rsid w:val="00F33780"/>
    <w:rsid w:val="00F40CD5"/>
    <w:rsid w:val="00F437F3"/>
    <w:rsid w:val="00F43CFB"/>
    <w:rsid w:val="00F442CE"/>
    <w:rsid w:val="00F44FAE"/>
    <w:rsid w:val="00F454EA"/>
    <w:rsid w:val="00F46D80"/>
    <w:rsid w:val="00F5229D"/>
    <w:rsid w:val="00F55B0A"/>
    <w:rsid w:val="00F561D7"/>
    <w:rsid w:val="00F56EA8"/>
    <w:rsid w:val="00F571BA"/>
    <w:rsid w:val="00F57E68"/>
    <w:rsid w:val="00F611EC"/>
    <w:rsid w:val="00F61F43"/>
    <w:rsid w:val="00F62A6A"/>
    <w:rsid w:val="00F62F8F"/>
    <w:rsid w:val="00F637F1"/>
    <w:rsid w:val="00F70A14"/>
    <w:rsid w:val="00F715C1"/>
    <w:rsid w:val="00F71CDF"/>
    <w:rsid w:val="00F72FAE"/>
    <w:rsid w:val="00F73424"/>
    <w:rsid w:val="00F745AF"/>
    <w:rsid w:val="00F76B7F"/>
    <w:rsid w:val="00F7764D"/>
    <w:rsid w:val="00F779B3"/>
    <w:rsid w:val="00F81190"/>
    <w:rsid w:val="00F81E8D"/>
    <w:rsid w:val="00F8287F"/>
    <w:rsid w:val="00F82CE8"/>
    <w:rsid w:val="00F84618"/>
    <w:rsid w:val="00F908F8"/>
    <w:rsid w:val="00F9141E"/>
    <w:rsid w:val="00F921B5"/>
    <w:rsid w:val="00F9283B"/>
    <w:rsid w:val="00F92E9C"/>
    <w:rsid w:val="00F92F50"/>
    <w:rsid w:val="00F93185"/>
    <w:rsid w:val="00F93EE0"/>
    <w:rsid w:val="00F943FB"/>
    <w:rsid w:val="00F96427"/>
    <w:rsid w:val="00F96571"/>
    <w:rsid w:val="00FA0335"/>
    <w:rsid w:val="00FA1208"/>
    <w:rsid w:val="00FA2F18"/>
    <w:rsid w:val="00FA4DF8"/>
    <w:rsid w:val="00FA4E41"/>
    <w:rsid w:val="00FA679D"/>
    <w:rsid w:val="00FB066B"/>
    <w:rsid w:val="00FB0E6C"/>
    <w:rsid w:val="00FB3F85"/>
    <w:rsid w:val="00FB5782"/>
    <w:rsid w:val="00FC02B0"/>
    <w:rsid w:val="00FC0FAB"/>
    <w:rsid w:val="00FC183C"/>
    <w:rsid w:val="00FC3851"/>
    <w:rsid w:val="00FC3B9D"/>
    <w:rsid w:val="00FC44C4"/>
    <w:rsid w:val="00FC5432"/>
    <w:rsid w:val="00FC6921"/>
    <w:rsid w:val="00FD0C52"/>
    <w:rsid w:val="00FD2B16"/>
    <w:rsid w:val="00FD37A7"/>
    <w:rsid w:val="00FD5818"/>
    <w:rsid w:val="00FD68DE"/>
    <w:rsid w:val="00FE03EC"/>
    <w:rsid w:val="00FE070A"/>
    <w:rsid w:val="00FE2432"/>
    <w:rsid w:val="00FE26B3"/>
    <w:rsid w:val="00FE2997"/>
    <w:rsid w:val="00FE3C9C"/>
    <w:rsid w:val="00FE3E56"/>
    <w:rsid w:val="00FE478C"/>
    <w:rsid w:val="00FE756F"/>
    <w:rsid w:val="00FE7BB4"/>
    <w:rsid w:val="00FF049B"/>
    <w:rsid w:val="00FF05E3"/>
    <w:rsid w:val="00FF0C89"/>
    <w:rsid w:val="00FF2742"/>
    <w:rsid w:val="00FF395B"/>
    <w:rsid w:val="00FF57E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aliases w:val="Footnote Reference Number,Footnote symbol"/>
    <w:basedOn w:val="DefaultParagraphFont"/>
    <w:uiPriority w:val="99"/>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aliases w:val="Footnote Reference Number,Footnote symbol"/>
    <w:basedOn w:val="DefaultParagraphFont"/>
    <w:uiPriority w:val="99"/>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835">
      <w:bodyDiv w:val="1"/>
      <w:marLeft w:val="0"/>
      <w:marRight w:val="0"/>
      <w:marTop w:val="0"/>
      <w:marBottom w:val="0"/>
      <w:divBdr>
        <w:top w:val="none" w:sz="0" w:space="0" w:color="auto"/>
        <w:left w:val="none" w:sz="0" w:space="0" w:color="auto"/>
        <w:bottom w:val="none" w:sz="0" w:space="0" w:color="auto"/>
        <w:right w:val="none" w:sz="0" w:space="0" w:color="auto"/>
      </w:divBdr>
    </w:div>
    <w:div w:id="51658097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67E978-5AFD-46D1-AC5B-B85980EF9875}">
  <ds:schemaRefs>
    <ds:schemaRef ds:uri="http://schemas.openxmlformats.org/officeDocument/2006/bibliography"/>
  </ds:schemaRefs>
</ds:datastoreItem>
</file>

<file path=customXml/itemProps2.xml><?xml version="1.0" encoding="utf-8"?>
<ds:datastoreItem xmlns:ds="http://schemas.openxmlformats.org/officeDocument/2006/customXml" ds:itemID="{C082BD36-F8BD-40A3-8791-46C28FA7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4642</Words>
  <Characters>2647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9.oktobra noteikumos Nr.694 “Eiropas Ekonomikas zonas finanšu instrumenta un Norvēģijas finanšu instrumenta 2009.–2014.gada perioda vadības noteikumi” sākotnējās ietekmes novērtēj</vt:lpstr>
    </vt:vector>
  </TitlesOfParts>
  <Company>FM</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9.oktobra noteikumos Nr.694 “Eiropas Ekonomikas zonas finanšu instrumenta un Norvēģijas finanšu instrumenta 2009.–2014.gada perioda vadības noteikumi” sākotnējās ietekmes novērtējuma ziņojums (anotācija)</dc:title>
  <dc:creator>evita.loseva@fm.gov.lv</dc:creator>
  <dc:description>evita.loseva@fm.gov.lv
tālrunis 67083888</dc:description>
  <cp:lastModifiedBy>Laimdota Adlere</cp:lastModifiedBy>
  <cp:revision>4</cp:revision>
  <cp:lastPrinted>2015-11-13T10:13:00Z</cp:lastPrinted>
  <dcterms:created xsi:type="dcterms:W3CDTF">2015-12-16T12:52:00Z</dcterms:created>
  <dcterms:modified xsi:type="dcterms:W3CDTF">2015-12-16T12:52:00Z</dcterms:modified>
</cp:coreProperties>
</file>